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C1F4" w14:textId="2C30F883" w:rsidR="001302E3" w:rsidRDefault="001302E3" w:rsidP="001302E3">
      <w:pPr>
        <w:pStyle w:val="Heading1"/>
        <w:rPr>
          <w:b/>
          <w:bCs/>
        </w:rPr>
      </w:pPr>
      <w:bookmarkStart w:id="0" w:name="_Hlk201563628"/>
      <w:bookmarkStart w:id="1" w:name="_Toc201564303"/>
      <w:r>
        <w:rPr>
          <w:b/>
          <w:bCs/>
        </w:rPr>
        <w:t>Weight Loss Medicines - FAQ</w:t>
      </w:r>
      <w:bookmarkEnd w:id="1"/>
    </w:p>
    <w:p w14:paraId="6F73BDD1" w14:textId="57646774" w:rsidR="001302E3" w:rsidRDefault="001302E3" w:rsidP="001302E3">
      <w:pPr>
        <w:pStyle w:val="Heading1"/>
        <w:rPr>
          <w:b/>
          <w:bCs/>
        </w:rPr>
      </w:pPr>
      <w:bookmarkStart w:id="2" w:name="_Toc201564304"/>
      <w:r w:rsidRPr="0071478A">
        <w:rPr>
          <w:b/>
          <w:bCs/>
        </w:rPr>
        <w:t xml:space="preserve">Weight Loss Medicines – Frequently Asked Questions for </w:t>
      </w:r>
      <w:r>
        <w:rPr>
          <w:b/>
          <w:bCs/>
        </w:rPr>
        <w:t>Patients/Public</w:t>
      </w:r>
      <w:bookmarkEnd w:id="2"/>
    </w:p>
    <w:p w14:paraId="4645EB3E" w14:textId="77777777" w:rsidR="001302E3" w:rsidRDefault="001302E3" w:rsidP="001302E3">
      <w:pPr>
        <w:rPr>
          <w:sz w:val="24"/>
          <w:szCs w:val="24"/>
        </w:rPr>
      </w:pPr>
      <w:r w:rsidRPr="001302E3">
        <w:rPr>
          <w:sz w:val="24"/>
          <w:szCs w:val="24"/>
        </w:rPr>
        <w:t>The ICB has created a public-facing webpage – FAQs.</w:t>
      </w:r>
    </w:p>
    <w:p w14:paraId="035E8E28" w14:textId="77777777" w:rsidR="001302E3" w:rsidRPr="001302E3" w:rsidRDefault="001302E3" w:rsidP="001302E3">
      <w:pPr>
        <w:rPr>
          <w:sz w:val="24"/>
          <w:szCs w:val="24"/>
        </w:rPr>
      </w:pPr>
      <w:hyperlink r:id="rId8" w:history="1">
        <w:r w:rsidRPr="001302E3">
          <w:rPr>
            <w:rStyle w:val="Hyperlink"/>
            <w:sz w:val="24"/>
            <w:szCs w:val="24"/>
          </w:rPr>
          <w:t>Weight Management in Humber and North Yorkshire - Let's Get Better</w:t>
        </w:r>
      </w:hyperlink>
    </w:p>
    <w:p w14:paraId="5D8045D5" w14:textId="3B4C425F" w:rsidR="001302E3" w:rsidRPr="001302E3" w:rsidRDefault="001302E3" w:rsidP="001302E3">
      <w:pPr>
        <w:rPr>
          <w:sz w:val="24"/>
          <w:szCs w:val="24"/>
        </w:rPr>
      </w:pPr>
      <w:r w:rsidRPr="001302E3">
        <w:rPr>
          <w:sz w:val="24"/>
          <w:szCs w:val="24"/>
        </w:rPr>
        <w:t>We encourage all healthcare providers (GP Practices, Community Pharmacies, Trusts</w:t>
      </w:r>
      <w:r w:rsidR="007853DA">
        <w:rPr>
          <w:sz w:val="24"/>
          <w:szCs w:val="24"/>
        </w:rPr>
        <w:t>,</w:t>
      </w:r>
      <w:r w:rsidRPr="001302E3">
        <w:rPr>
          <w:sz w:val="24"/>
          <w:szCs w:val="24"/>
        </w:rPr>
        <w:t xml:space="preserve"> etc.) in </w:t>
      </w:r>
      <w:r w:rsidR="006028E4">
        <w:rPr>
          <w:sz w:val="24"/>
          <w:szCs w:val="24"/>
        </w:rPr>
        <w:t xml:space="preserve">the </w:t>
      </w:r>
      <w:r w:rsidRPr="001302E3">
        <w:rPr>
          <w:sz w:val="24"/>
          <w:szCs w:val="24"/>
        </w:rPr>
        <w:t xml:space="preserve">Humber and North Yorkshire integrated care system to link directly to this resource. </w:t>
      </w:r>
    </w:p>
    <w:p w14:paraId="1D03EA27" w14:textId="77777777" w:rsidR="001302E3" w:rsidRPr="001302E3" w:rsidRDefault="001302E3" w:rsidP="001302E3">
      <w:pPr>
        <w:rPr>
          <w:sz w:val="24"/>
          <w:szCs w:val="24"/>
        </w:rPr>
      </w:pPr>
      <w:r w:rsidRPr="001302E3">
        <w:rPr>
          <w:sz w:val="24"/>
          <w:szCs w:val="24"/>
        </w:rPr>
        <w:t>We will update this resource on a regular basis, with new information, as it becomes available.</w:t>
      </w:r>
    </w:p>
    <w:p w14:paraId="725DEF19" w14:textId="54FFA022" w:rsidR="00B42630" w:rsidRPr="0071478A" w:rsidRDefault="00B42630" w:rsidP="00B42630">
      <w:pPr>
        <w:pStyle w:val="Heading1"/>
        <w:rPr>
          <w:b/>
          <w:bCs/>
        </w:rPr>
      </w:pPr>
      <w:bookmarkStart w:id="3" w:name="_Toc201564305"/>
      <w:r w:rsidRPr="0071478A">
        <w:rPr>
          <w:b/>
          <w:bCs/>
        </w:rPr>
        <w:t>Weight Loss Medicines – Frequently Asked Questions</w:t>
      </w:r>
      <w:r w:rsidR="000B30CE" w:rsidRPr="0071478A">
        <w:rPr>
          <w:b/>
          <w:bCs/>
        </w:rPr>
        <w:t xml:space="preserve"> </w:t>
      </w:r>
      <w:r w:rsidR="005C2395" w:rsidRPr="0071478A">
        <w:rPr>
          <w:b/>
          <w:bCs/>
        </w:rPr>
        <w:t>for</w:t>
      </w:r>
      <w:r w:rsidR="000B30CE" w:rsidRPr="0071478A">
        <w:rPr>
          <w:b/>
          <w:bCs/>
        </w:rPr>
        <w:t xml:space="preserve"> Clinicians/NHS Providers</w:t>
      </w:r>
      <w:bookmarkEnd w:id="3"/>
    </w:p>
    <w:sdt>
      <w:sdtPr>
        <w:rPr>
          <w:rFonts w:asciiTheme="minorHAnsi" w:eastAsiaTheme="minorHAnsi" w:hAnsiTheme="minorHAnsi" w:cstheme="minorBidi"/>
          <w:color w:val="auto"/>
          <w:kern w:val="2"/>
          <w:sz w:val="22"/>
          <w:szCs w:val="22"/>
          <w:lang w:val="en-GB"/>
          <w14:ligatures w14:val="standardContextual"/>
        </w:rPr>
        <w:id w:val="-2112342652"/>
        <w:docPartObj>
          <w:docPartGallery w:val="Table of Contents"/>
          <w:docPartUnique/>
        </w:docPartObj>
      </w:sdtPr>
      <w:sdtEndPr>
        <w:rPr>
          <w:b/>
          <w:bCs/>
          <w:noProof/>
        </w:rPr>
      </w:sdtEndPr>
      <w:sdtContent>
        <w:p w14:paraId="67C48382" w14:textId="01F57816" w:rsidR="005957FB" w:rsidRDefault="005957FB">
          <w:pPr>
            <w:pStyle w:val="TOCHeading"/>
          </w:pPr>
          <w:r>
            <w:t>Contents</w:t>
          </w:r>
        </w:p>
        <w:p w14:paraId="63A8099D" w14:textId="6C454484" w:rsidR="006028E4" w:rsidRDefault="005957FB">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1564303" w:history="1">
            <w:r w:rsidR="006028E4" w:rsidRPr="00D834C9">
              <w:rPr>
                <w:rStyle w:val="Hyperlink"/>
                <w:b/>
                <w:bCs/>
                <w:noProof/>
              </w:rPr>
              <w:t>Weight Loss Medicines - FAQ</w:t>
            </w:r>
            <w:r w:rsidR="006028E4">
              <w:rPr>
                <w:noProof/>
                <w:webHidden/>
              </w:rPr>
              <w:tab/>
            </w:r>
            <w:r w:rsidR="006028E4">
              <w:rPr>
                <w:noProof/>
                <w:webHidden/>
              </w:rPr>
              <w:fldChar w:fldCharType="begin"/>
            </w:r>
            <w:r w:rsidR="006028E4">
              <w:rPr>
                <w:noProof/>
                <w:webHidden/>
              </w:rPr>
              <w:instrText xml:space="preserve"> PAGEREF _Toc201564303 \h </w:instrText>
            </w:r>
            <w:r w:rsidR="006028E4">
              <w:rPr>
                <w:noProof/>
                <w:webHidden/>
              </w:rPr>
            </w:r>
            <w:r w:rsidR="006028E4">
              <w:rPr>
                <w:noProof/>
                <w:webHidden/>
              </w:rPr>
              <w:fldChar w:fldCharType="separate"/>
            </w:r>
            <w:r w:rsidR="006028E4">
              <w:rPr>
                <w:noProof/>
                <w:webHidden/>
              </w:rPr>
              <w:t>1</w:t>
            </w:r>
            <w:r w:rsidR="006028E4">
              <w:rPr>
                <w:noProof/>
                <w:webHidden/>
              </w:rPr>
              <w:fldChar w:fldCharType="end"/>
            </w:r>
          </w:hyperlink>
        </w:p>
        <w:p w14:paraId="4085AA85" w14:textId="2D7E30AF" w:rsidR="006028E4" w:rsidRDefault="006028E4">
          <w:pPr>
            <w:pStyle w:val="TOC1"/>
            <w:tabs>
              <w:tab w:val="right" w:leader="dot" w:pos="9016"/>
            </w:tabs>
            <w:rPr>
              <w:rFonts w:eastAsiaTheme="minorEastAsia"/>
              <w:noProof/>
              <w:sz w:val="24"/>
              <w:szCs w:val="24"/>
              <w:lang w:eastAsia="en-GB"/>
            </w:rPr>
          </w:pPr>
          <w:hyperlink w:anchor="_Toc201564304" w:history="1">
            <w:r w:rsidRPr="00D834C9">
              <w:rPr>
                <w:rStyle w:val="Hyperlink"/>
                <w:b/>
                <w:bCs/>
                <w:noProof/>
              </w:rPr>
              <w:t>Weight Loss Medicines – Frequently Asked Questions for Patients/Public</w:t>
            </w:r>
            <w:r>
              <w:rPr>
                <w:noProof/>
                <w:webHidden/>
              </w:rPr>
              <w:tab/>
            </w:r>
            <w:r>
              <w:rPr>
                <w:noProof/>
                <w:webHidden/>
              </w:rPr>
              <w:fldChar w:fldCharType="begin"/>
            </w:r>
            <w:r>
              <w:rPr>
                <w:noProof/>
                <w:webHidden/>
              </w:rPr>
              <w:instrText xml:space="preserve"> PAGEREF _Toc201564304 \h </w:instrText>
            </w:r>
            <w:r>
              <w:rPr>
                <w:noProof/>
                <w:webHidden/>
              </w:rPr>
            </w:r>
            <w:r>
              <w:rPr>
                <w:noProof/>
                <w:webHidden/>
              </w:rPr>
              <w:fldChar w:fldCharType="separate"/>
            </w:r>
            <w:r>
              <w:rPr>
                <w:noProof/>
                <w:webHidden/>
              </w:rPr>
              <w:t>1</w:t>
            </w:r>
            <w:r>
              <w:rPr>
                <w:noProof/>
                <w:webHidden/>
              </w:rPr>
              <w:fldChar w:fldCharType="end"/>
            </w:r>
          </w:hyperlink>
        </w:p>
        <w:p w14:paraId="62EB8C07" w14:textId="55871B6E" w:rsidR="006028E4" w:rsidRDefault="006028E4">
          <w:pPr>
            <w:pStyle w:val="TOC1"/>
            <w:tabs>
              <w:tab w:val="right" w:leader="dot" w:pos="9016"/>
            </w:tabs>
            <w:rPr>
              <w:rFonts w:eastAsiaTheme="minorEastAsia"/>
              <w:noProof/>
              <w:sz w:val="24"/>
              <w:szCs w:val="24"/>
              <w:lang w:eastAsia="en-GB"/>
            </w:rPr>
          </w:pPr>
          <w:hyperlink w:anchor="_Toc201564305" w:history="1">
            <w:r w:rsidRPr="00D834C9">
              <w:rPr>
                <w:rStyle w:val="Hyperlink"/>
                <w:b/>
                <w:bCs/>
                <w:noProof/>
              </w:rPr>
              <w:t>Weight Loss Medicines – Frequently Asked Questions for Clinicians/NHS Providers</w:t>
            </w:r>
            <w:r>
              <w:rPr>
                <w:noProof/>
                <w:webHidden/>
              </w:rPr>
              <w:tab/>
            </w:r>
            <w:r>
              <w:rPr>
                <w:noProof/>
                <w:webHidden/>
              </w:rPr>
              <w:fldChar w:fldCharType="begin"/>
            </w:r>
            <w:r>
              <w:rPr>
                <w:noProof/>
                <w:webHidden/>
              </w:rPr>
              <w:instrText xml:space="preserve"> PAGEREF _Toc201564305 \h </w:instrText>
            </w:r>
            <w:r>
              <w:rPr>
                <w:noProof/>
                <w:webHidden/>
              </w:rPr>
            </w:r>
            <w:r>
              <w:rPr>
                <w:noProof/>
                <w:webHidden/>
              </w:rPr>
              <w:fldChar w:fldCharType="separate"/>
            </w:r>
            <w:r>
              <w:rPr>
                <w:noProof/>
                <w:webHidden/>
              </w:rPr>
              <w:t>1</w:t>
            </w:r>
            <w:r>
              <w:rPr>
                <w:noProof/>
                <w:webHidden/>
              </w:rPr>
              <w:fldChar w:fldCharType="end"/>
            </w:r>
          </w:hyperlink>
        </w:p>
        <w:p w14:paraId="0167CEF9" w14:textId="5801CF68" w:rsidR="006028E4" w:rsidRDefault="006028E4">
          <w:pPr>
            <w:pStyle w:val="TOC2"/>
            <w:tabs>
              <w:tab w:val="right" w:leader="dot" w:pos="9016"/>
            </w:tabs>
            <w:rPr>
              <w:rFonts w:eastAsiaTheme="minorEastAsia"/>
              <w:noProof/>
              <w:sz w:val="24"/>
              <w:szCs w:val="24"/>
              <w:lang w:eastAsia="en-GB"/>
            </w:rPr>
          </w:pPr>
          <w:hyperlink w:anchor="_Toc201564306" w:history="1">
            <w:r w:rsidRPr="00D834C9">
              <w:rPr>
                <w:rStyle w:val="Hyperlink"/>
                <w:noProof/>
              </w:rPr>
              <w:t>Introduction</w:t>
            </w:r>
            <w:r>
              <w:rPr>
                <w:noProof/>
                <w:webHidden/>
              </w:rPr>
              <w:tab/>
            </w:r>
            <w:r>
              <w:rPr>
                <w:noProof/>
                <w:webHidden/>
              </w:rPr>
              <w:fldChar w:fldCharType="begin"/>
            </w:r>
            <w:r>
              <w:rPr>
                <w:noProof/>
                <w:webHidden/>
              </w:rPr>
              <w:instrText xml:space="preserve"> PAGEREF _Toc201564306 \h </w:instrText>
            </w:r>
            <w:r>
              <w:rPr>
                <w:noProof/>
                <w:webHidden/>
              </w:rPr>
            </w:r>
            <w:r>
              <w:rPr>
                <w:noProof/>
                <w:webHidden/>
              </w:rPr>
              <w:fldChar w:fldCharType="separate"/>
            </w:r>
            <w:r>
              <w:rPr>
                <w:noProof/>
                <w:webHidden/>
              </w:rPr>
              <w:t>2</w:t>
            </w:r>
            <w:r>
              <w:rPr>
                <w:noProof/>
                <w:webHidden/>
              </w:rPr>
              <w:fldChar w:fldCharType="end"/>
            </w:r>
          </w:hyperlink>
        </w:p>
        <w:p w14:paraId="067BE58D" w14:textId="296B407A" w:rsidR="006028E4" w:rsidRDefault="006028E4">
          <w:pPr>
            <w:pStyle w:val="TOC2"/>
            <w:tabs>
              <w:tab w:val="right" w:leader="dot" w:pos="9016"/>
            </w:tabs>
            <w:rPr>
              <w:rFonts w:eastAsiaTheme="minorEastAsia"/>
              <w:noProof/>
              <w:sz w:val="24"/>
              <w:szCs w:val="24"/>
              <w:lang w:eastAsia="en-GB"/>
            </w:rPr>
          </w:pPr>
          <w:hyperlink w:anchor="_Toc201564307" w:history="1">
            <w:r w:rsidRPr="00D834C9">
              <w:rPr>
                <w:rStyle w:val="Hyperlink"/>
                <w:noProof/>
              </w:rPr>
              <w:t>Supply via the NHS – Different Sources of Information</w:t>
            </w:r>
            <w:r>
              <w:rPr>
                <w:noProof/>
                <w:webHidden/>
              </w:rPr>
              <w:tab/>
            </w:r>
            <w:r>
              <w:rPr>
                <w:noProof/>
                <w:webHidden/>
              </w:rPr>
              <w:fldChar w:fldCharType="begin"/>
            </w:r>
            <w:r>
              <w:rPr>
                <w:noProof/>
                <w:webHidden/>
              </w:rPr>
              <w:instrText xml:space="preserve"> PAGEREF _Toc201564307 \h </w:instrText>
            </w:r>
            <w:r>
              <w:rPr>
                <w:noProof/>
                <w:webHidden/>
              </w:rPr>
            </w:r>
            <w:r>
              <w:rPr>
                <w:noProof/>
                <w:webHidden/>
              </w:rPr>
              <w:fldChar w:fldCharType="separate"/>
            </w:r>
            <w:r>
              <w:rPr>
                <w:noProof/>
                <w:webHidden/>
              </w:rPr>
              <w:t>2</w:t>
            </w:r>
            <w:r>
              <w:rPr>
                <w:noProof/>
                <w:webHidden/>
              </w:rPr>
              <w:fldChar w:fldCharType="end"/>
            </w:r>
          </w:hyperlink>
        </w:p>
        <w:p w14:paraId="5A220373" w14:textId="1CBAB7D9" w:rsidR="006028E4" w:rsidRDefault="006028E4">
          <w:pPr>
            <w:pStyle w:val="TOC3"/>
            <w:tabs>
              <w:tab w:val="right" w:leader="dot" w:pos="9016"/>
            </w:tabs>
            <w:rPr>
              <w:rFonts w:eastAsiaTheme="minorEastAsia"/>
              <w:noProof/>
              <w:sz w:val="24"/>
              <w:szCs w:val="24"/>
              <w:lang w:eastAsia="en-GB"/>
            </w:rPr>
          </w:pPr>
          <w:hyperlink w:anchor="_Toc201564308" w:history="1">
            <w:r w:rsidRPr="00D834C9">
              <w:rPr>
                <w:rStyle w:val="Hyperlink"/>
                <w:noProof/>
              </w:rPr>
              <w:t>HNY ICB Commissioning Position</w:t>
            </w:r>
            <w:r>
              <w:rPr>
                <w:noProof/>
                <w:webHidden/>
              </w:rPr>
              <w:tab/>
            </w:r>
            <w:r>
              <w:rPr>
                <w:noProof/>
                <w:webHidden/>
              </w:rPr>
              <w:fldChar w:fldCharType="begin"/>
            </w:r>
            <w:r>
              <w:rPr>
                <w:noProof/>
                <w:webHidden/>
              </w:rPr>
              <w:instrText xml:space="preserve"> PAGEREF _Toc201564308 \h </w:instrText>
            </w:r>
            <w:r>
              <w:rPr>
                <w:noProof/>
                <w:webHidden/>
              </w:rPr>
            </w:r>
            <w:r>
              <w:rPr>
                <w:noProof/>
                <w:webHidden/>
              </w:rPr>
              <w:fldChar w:fldCharType="separate"/>
            </w:r>
            <w:r>
              <w:rPr>
                <w:noProof/>
                <w:webHidden/>
              </w:rPr>
              <w:t>2</w:t>
            </w:r>
            <w:r>
              <w:rPr>
                <w:noProof/>
                <w:webHidden/>
              </w:rPr>
              <w:fldChar w:fldCharType="end"/>
            </w:r>
          </w:hyperlink>
        </w:p>
        <w:p w14:paraId="65EB4513" w14:textId="776876C6" w:rsidR="006028E4" w:rsidRDefault="006028E4">
          <w:pPr>
            <w:pStyle w:val="TOC3"/>
            <w:tabs>
              <w:tab w:val="right" w:leader="dot" w:pos="9016"/>
            </w:tabs>
            <w:rPr>
              <w:rFonts w:eastAsiaTheme="minorEastAsia"/>
              <w:noProof/>
              <w:sz w:val="24"/>
              <w:szCs w:val="24"/>
              <w:lang w:eastAsia="en-GB"/>
            </w:rPr>
          </w:pPr>
          <w:hyperlink w:anchor="_Toc201564309" w:history="1">
            <w:r w:rsidRPr="00D834C9">
              <w:rPr>
                <w:rStyle w:val="Hyperlink"/>
                <w:noProof/>
              </w:rPr>
              <w:t>NICE Technology Appraisals (for overweight and obesity)</w:t>
            </w:r>
            <w:r>
              <w:rPr>
                <w:noProof/>
                <w:webHidden/>
              </w:rPr>
              <w:tab/>
            </w:r>
            <w:r>
              <w:rPr>
                <w:noProof/>
                <w:webHidden/>
              </w:rPr>
              <w:fldChar w:fldCharType="begin"/>
            </w:r>
            <w:r>
              <w:rPr>
                <w:noProof/>
                <w:webHidden/>
              </w:rPr>
              <w:instrText xml:space="preserve"> PAGEREF _Toc201564309 \h </w:instrText>
            </w:r>
            <w:r>
              <w:rPr>
                <w:noProof/>
                <w:webHidden/>
              </w:rPr>
            </w:r>
            <w:r>
              <w:rPr>
                <w:noProof/>
                <w:webHidden/>
              </w:rPr>
              <w:fldChar w:fldCharType="separate"/>
            </w:r>
            <w:r>
              <w:rPr>
                <w:noProof/>
                <w:webHidden/>
              </w:rPr>
              <w:t>3</w:t>
            </w:r>
            <w:r>
              <w:rPr>
                <w:noProof/>
                <w:webHidden/>
              </w:rPr>
              <w:fldChar w:fldCharType="end"/>
            </w:r>
          </w:hyperlink>
        </w:p>
        <w:p w14:paraId="0DC5D2E1" w14:textId="70CDC3C0" w:rsidR="006028E4" w:rsidRDefault="006028E4">
          <w:pPr>
            <w:pStyle w:val="TOC3"/>
            <w:tabs>
              <w:tab w:val="right" w:leader="dot" w:pos="9016"/>
            </w:tabs>
            <w:rPr>
              <w:rFonts w:eastAsiaTheme="minorEastAsia"/>
              <w:noProof/>
              <w:sz w:val="24"/>
              <w:szCs w:val="24"/>
              <w:lang w:eastAsia="en-GB"/>
            </w:rPr>
          </w:pPr>
          <w:hyperlink w:anchor="_Toc201564310" w:history="1">
            <w:r w:rsidRPr="00D834C9">
              <w:rPr>
                <w:rStyle w:val="Hyperlink"/>
                <w:noProof/>
              </w:rPr>
              <w:t>NICE TA – Semaglutide (as Wegovy)</w:t>
            </w:r>
            <w:r>
              <w:rPr>
                <w:noProof/>
                <w:webHidden/>
              </w:rPr>
              <w:tab/>
            </w:r>
            <w:r>
              <w:rPr>
                <w:noProof/>
                <w:webHidden/>
              </w:rPr>
              <w:fldChar w:fldCharType="begin"/>
            </w:r>
            <w:r>
              <w:rPr>
                <w:noProof/>
                <w:webHidden/>
              </w:rPr>
              <w:instrText xml:space="preserve"> PAGEREF _Toc201564310 \h </w:instrText>
            </w:r>
            <w:r>
              <w:rPr>
                <w:noProof/>
                <w:webHidden/>
              </w:rPr>
            </w:r>
            <w:r>
              <w:rPr>
                <w:noProof/>
                <w:webHidden/>
              </w:rPr>
              <w:fldChar w:fldCharType="separate"/>
            </w:r>
            <w:r>
              <w:rPr>
                <w:noProof/>
                <w:webHidden/>
              </w:rPr>
              <w:t>3</w:t>
            </w:r>
            <w:r>
              <w:rPr>
                <w:noProof/>
                <w:webHidden/>
              </w:rPr>
              <w:fldChar w:fldCharType="end"/>
            </w:r>
          </w:hyperlink>
        </w:p>
        <w:p w14:paraId="7937C791" w14:textId="49688839" w:rsidR="006028E4" w:rsidRDefault="006028E4">
          <w:pPr>
            <w:pStyle w:val="TOC3"/>
            <w:tabs>
              <w:tab w:val="right" w:leader="dot" w:pos="9016"/>
            </w:tabs>
            <w:rPr>
              <w:rFonts w:eastAsiaTheme="minorEastAsia"/>
              <w:noProof/>
              <w:sz w:val="24"/>
              <w:szCs w:val="24"/>
              <w:lang w:eastAsia="en-GB"/>
            </w:rPr>
          </w:pPr>
          <w:hyperlink w:anchor="_Toc201564311" w:history="1">
            <w:r w:rsidRPr="00D834C9">
              <w:rPr>
                <w:rStyle w:val="Hyperlink"/>
                <w:noProof/>
              </w:rPr>
              <w:t>NICE TA Tirzepatide (Mounjaro)</w:t>
            </w:r>
            <w:r>
              <w:rPr>
                <w:noProof/>
                <w:webHidden/>
              </w:rPr>
              <w:tab/>
            </w:r>
            <w:r>
              <w:rPr>
                <w:noProof/>
                <w:webHidden/>
              </w:rPr>
              <w:fldChar w:fldCharType="begin"/>
            </w:r>
            <w:r>
              <w:rPr>
                <w:noProof/>
                <w:webHidden/>
              </w:rPr>
              <w:instrText xml:space="preserve"> PAGEREF _Toc201564311 \h </w:instrText>
            </w:r>
            <w:r>
              <w:rPr>
                <w:noProof/>
                <w:webHidden/>
              </w:rPr>
            </w:r>
            <w:r>
              <w:rPr>
                <w:noProof/>
                <w:webHidden/>
              </w:rPr>
              <w:fldChar w:fldCharType="separate"/>
            </w:r>
            <w:r>
              <w:rPr>
                <w:noProof/>
                <w:webHidden/>
              </w:rPr>
              <w:t>4</w:t>
            </w:r>
            <w:r>
              <w:rPr>
                <w:noProof/>
                <w:webHidden/>
              </w:rPr>
              <w:fldChar w:fldCharType="end"/>
            </w:r>
          </w:hyperlink>
        </w:p>
        <w:p w14:paraId="6BF010F7" w14:textId="2EDD1A06" w:rsidR="006028E4" w:rsidRDefault="006028E4">
          <w:pPr>
            <w:pStyle w:val="TOC3"/>
            <w:tabs>
              <w:tab w:val="right" w:leader="dot" w:pos="9016"/>
            </w:tabs>
            <w:rPr>
              <w:rFonts w:eastAsiaTheme="minorEastAsia"/>
              <w:noProof/>
              <w:sz w:val="24"/>
              <w:szCs w:val="24"/>
              <w:lang w:eastAsia="en-GB"/>
            </w:rPr>
          </w:pPr>
          <w:hyperlink w:anchor="_Toc201564312" w:history="1">
            <w:r w:rsidRPr="00D834C9">
              <w:rPr>
                <w:rStyle w:val="Hyperlink"/>
                <w:noProof/>
              </w:rPr>
              <w:t>NHS Interim Commissioning Guidance – Tirzepatide Only</w:t>
            </w:r>
            <w:r>
              <w:rPr>
                <w:noProof/>
                <w:webHidden/>
              </w:rPr>
              <w:tab/>
            </w:r>
            <w:r>
              <w:rPr>
                <w:noProof/>
                <w:webHidden/>
              </w:rPr>
              <w:fldChar w:fldCharType="begin"/>
            </w:r>
            <w:r>
              <w:rPr>
                <w:noProof/>
                <w:webHidden/>
              </w:rPr>
              <w:instrText xml:space="preserve"> PAGEREF _Toc201564312 \h </w:instrText>
            </w:r>
            <w:r>
              <w:rPr>
                <w:noProof/>
                <w:webHidden/>
              </w:rPr>
            </w:r>
            <w:r>
              <w:rPr>
                <w:noProof/>
                <w:webHidden/>
              </w:rPr>
              <w:fldChar w:fldCharType="separate"/>
            </w:r>
            <w:r>
              <w:rPr>
                <w:noProof/>
                <w:webHidden/>
              </w:rPr>
              <w:t>4</w:t>
            </w:r>
            <w:r>
              <w:rPr>
                <w:noProof/>
                <w:webHidden/>
              </w:rPr>
              <w:fldChar w:fldCharType="end"/>
            </w:r>
          </w:hyperlink>
        </w:p>
        <w:p w14:paraId="73C7C758" w14:textId="06C3CAEB" w:rsidR="006028E4" w:rsidRDefault="006028E4">
          <w:pPr>
            <w:pStyle w:val="TOC3"/>
            <w:tabs>
              <w:tab w:val="right" w:leader="dot" w:pos="9016"/>
            </w:tabs>
            <w:rPr>
              <w:rFonts w:eastAsiaTheme="minorEastAsia"/>
              <w:noProof/>
              <w:sz w:val="24"/>
              <w:szCs w:val="24"/>
              <w:lang w:eastAsia="en-GB"/>
            </w:rPr>
          </w:pPr>
          <w:hyperlink w:anchor="_Toc201564313" w:history="1">
            <w:r w:rsidRPr="00D834C9">
              <w:rPr>
                <w:rStyle w:val="Hyperlink"/>
                <w:noProof/>
              </w:rPr>
              <w:t>Licensed Indications</w:t>
            </w:r>
            <w:r>
              <w:rPr>
                <w:noProof/>
                <w:webHidden/>
              </w:rPr>
              <w:tab/>
            </w:r>
            <w:r>
              <w:rPr>
                <w:noProof/>
                <w:webHidden/>
              </w:rPr>
              <w:fldChar w:fldCharType="begin"/>
            </w:r>
            <w:r>
              <w:rPr>
                <w:noProof/>
                <w:webHidden/>
              </w:rPr>
              <w:instrText xml:space="preserve"> PAGEREF _Toc201564313 \h </w:instrText>
            </w:r>
            <w:r>
              <w:rPr>
                <w:noProof/>
                <w:webHidden/>
              </w:rPr>
            </w:r>
            <w:r>
              <w:rPr>
                <w:noProof/>
                <w:webHidden/>
              </w:rPr>
              <w:fldChar w:fldCharType="separate"/>
            </w:r>
            <w:r>
              <w:rPr>
                <w:noProof/>
                <w:webHidden/>
              </w:rPr>
              <w:t>4</w:t>
            </w:r>
            <w:r>
              <w:rPr>
                <w:noProof/>
                <w:webHidden/>
              </w:rPr>
              <w:fldChar w:fldCharType="end"/>
            </w:r>
          </w:hyperlink>
        </w:p>
        <w:p w14:paraId="52375F4C" w14:textId="450A6643" w:rsidR="006028E4" w:rsidRDefault="006028E4">
          <w:pPr>
            <w:pStyle w:val="TOC2"/>
            <w:tabs>
              <w:tab w:val="right" w:leader="dot" w:pos="9016"/>
            </w:tabs>
            <w:rPr>
              <w:rFonts w:eastAsiaTheme="minorEastAsia"/>
              <w:noProof/>
              <w:sz w:val="24"/>
              <w:szCs w:val="24"/>
              <w:lang w:eastAsia="en-GB"/>
            </w:rPr>
          </w:pPr>
          <w:hyperlink w:anchor="_Toc201564314" w:history="1">
            <w:r w:rsidRPr="00D834C9">
              <w:rPr>
                <w:rStyle w:val="Hyperlink"/>
                <w:noProof/>
              </w:rPr>
              <w:t>Private Providers</w:t>
            </w:r>
            <w:r>
              <w:rPr>
                <w:noProof/>
                <w:webHidden/>
              </w:rPr>
              <w:tab/>
            </w:r>
            <w:r>
              <w:rPr>
                <w:noProof/>
                <w:webHidden/>
              </w:rPr>
              <w:fldChar w:fldCharType="begin"/>
            </w:r>
            <w:r>
              <w:rPr>
                <w:noProof/>
                <w:webHidden/>
              </w:rPr>
              <w:instrText xml:space="preserve"> PAGEREF _Toc201564314 \h </w:instrText>
            </w:r>
            <w:r>
              <w:rPr>
                <w:noProof/>
                <w:webHidden/>
              </w:rPr>
            </w:r>
            <w:r>
              <w:rPr>
                <w:noProof/>
                <w:webHidden/>
              </w:rPr>
              <w:fldChar w:fldCharType="separate"/>
            </w:r>
            <w:r>
              <w:rPr>
                <w:noProof/>
                <w:webHidden/>
              </w:rPr>
              <w:t>5</w:t>
            </w:r>
            <w:r>
              <w:rPr>
                <w:noProof/>
                <w:webHidden/>
              </w:rPr>
              <w:fldChar w:fldCharType="end"/>
            </w:r>
          </w:hyperlink>
        </w:p>
        <w:p w14:paraId="314FC8D7" w14:textId="5FD2A205" w:rsidR="006028E4" w:rsidRDefault="006028E4">
          <w:pPr>
            <w:pStyle w:val="TOC3"/>
            <w:tabs>
              <w:tab w:val="left" w:pos="960"/>
              <w:tab w:val="right" w:leader="dot" w:pos="9016"/>
            </w:tabs>
            <w:rPr>
              <w:rFonts w:eastAsiaTheme="minorEastAsia"/>
              <w:noProof/>
              <w:sz w:val="24"/>
              <w:szCs w:val="24"/>
              <w:lang w:eastAsia="en-GB"/>
            </w:rPr>
          </w:pPr>
          <w:hyperlink w:anchor="_Toc201564315" w:history="1">
            <w:r w:rsidRPr="00D834C9">
              <w:rPr>
                <w:rStyle w:val="Hyperlink"/>
                <w:rFonts w:ascii="Symbol" w:hAnsi="Symbol"/>
                <w:noProof/>
              </w:rPr>
              <w:t></w:t>
            </w:r>
            <w:r>
              <w:rPr>
                <w:rFonts w:eastAsiaTheme="minorEastAsia"/>
                <w:noProof/>
                <w:sz w:val="24"/>
                <w:szCs w:val="24"/>
                <w:lang w:eastAsia="en-GB"/>
              </w:rPr>
              <w:tab/>
            </w:r>
            <w:r w:rsidRPr="00D834C9">
              <w:rPr>
                <w:rStyle w:val="Hyperlink"/>
                <w:noProof/>
              </w:rPr>
              <w:t>Medicines Healthcare products and Regulatory Agency (MHRA)</w:t>
            </w:r>
            <w:r>
              <w:rPr>
                <w:noProof/>
                <w:webHidden/>
              </w:rPr>
              <w:tab/>
            </w:r>
            <w:r>
              <w:rPr>
                <w:noProof/>
                <w:webHidden/>
              </w:rPr>
              <w:fldChar w:fldCharType="begin"/>
            </w:r>
            <w:r>
              <w:rPr>
                <w:noProof/>
                <w:webHidden/>
              </w:rPr>
              <w:instrText xml:space="preserve"> PAGEREF _Toc201564315 \h </w:instrText>
            </w:r>
            <w:r>
              <w:rPr>
                <w:noProof/>
                <w:webHidden/>
              </w:rPr>
            </w:r>
            <w:r>
              <w:rPr>
                <w:noProof/>
                <w:webHidden/>
              </w:rPr>
              <w:fldChar w:fldCharType="separate"/>
            </w:r>
            <w:r>
              <w:rPr>
                <w:noProof/>
                <w:webHidden/>
              </w:rPr>
              <w:t>6</w:t>
            </w:r>
            <w:r>
              <w:rPr>
                <w:noProof/>
                <w:webHidden/>
              </w:rPr>
              <w:fldChar w:fldCharType="end"/>
            </w:r>
          </w:hyperlink>
        </w:p>
        <w:p w14:paraId="5CD8BEF7" w14:textId="32E6EBE5" w:rsidR="006028E4" w:rsidRDefault="006028E4">
          <w:pPr>
            <w:pStyle w:val="TOC3"/>
            <w:tabs>
              <w:tab w:val="left" w:pos="960"/>
              <w:tab w:val="right" w:leader="dot" w:pos="9016"/>
            </w:tabs>
            <w:rPr>
              <w:rFonts w:eastAsiaTheme="minorEastAsia"/>
              <w:noProof/>
              <w:sz w:val="24"/>
              <w:szCs w:val="24"/>
              <w:lang w:eastAsia="en-GB"/>
            </w:rPr>
          </w:pPr>
          <w:hyperlink w:anchor="_Toc201564316" w:history="1">
            <w:r w:rsidRPr="00D834C9">
              <w:rPr>
                <w:rStyle w:val="Hyperlink"/>
                <w:rFonts w:ascii="Symbol" w:hAnsi="Symbol"/>
                <w:noProof/>
              </w:rPr>
              <w:t></w:t>
            </w:r>
            <w:r>
              <w:rPr>
                <w:rFonts w:eastAsiaTheme="minorEastAsia"/>
                <w:noProof/>
                <w:sz w:val="24"/>
                <w:szCs w:val="24"/>
                <w:lang w:eastAsia="en-GB"/>
              </w:rPr>
              <w:tab/>
            </w:r>
            <w:r w:rsidRPr="00D834C9">
              <w:rPr>
                <w:rStyle w:val="Hyperlink"/>
                <w:noProof/>
              </w:rPr>
              <w:t>The Medical Defence Union (MDU)</w:t>
            </w:r>
            <w:r>
              <w:rPr>
                <w:noProof/>
                <w:webHidden/>
              </w:rPr>
              <w:tab/>
            </w:r>
            <w:r>
              <w:rPr>
                <w:noProof/>
                <w:webHidden/>
              </w:rPr>
              <w:fldChar w:fldCharType="begin"/>
            </w:r>
            <w:r>
              <w:rPr>
                <w:noProof/>
                <w:webHidden/>
              </w:rPr>
              <w:instrText xml:space="preserve"> PAGEREF _Toc201564316 \h </w:instrText>
            </w:r>
            <w:r>
              <w:rPr>
                <w:noProof/>
                <w:webHidden/>
              </w:rPr>
            </w:r>
            <w:r>
              <w:rPr>
                <w:noProof/>
                <w:webHidden/>
              </w:rPr>
              <w:fldChar w:fldCharType="separate"/>
            </w:r>
            <w:r>
              <w:rPr>
                <w:noProof/>
                <w:webHidden/>
              </w:rPr>
              <w:t>6</w:t>
            </w:r>
            <w:r>
              <w:rPr>
                <w:noProof/>
                <w:webHidden/>
              </w:rPr>
              <w:fldChar w:fldCharType="end"/>
            </w:r>
          </w:hyperlink>
        </w:p>
        <w:p w14:paraId="0222E1ED" w14:textId="11E798A8" w:rsidR="006028E4" w:rsidRDefault="006028E4">
          <w:pPr>
            <w:pStyle w:val="TOC3"/>
            <w:tabs>
              <w:tab w:val="left" w:pos="960"/>
              <w:tab w:val="right" w:leader="dot" w:pos="9016"/>
            </w:tabs>
            <w:rPr>
              <w:rFonts w:eastAsiaTheme="minorEastAsia"/>
              <w:noProof/>
              <w:sz w:val="24"/>
              <w:szCs w:val="24"/>
              <w:lang w:eastAsia="en-GB"/>
            </w:rPr>
          </w:pPr>
          <w:hyperlink w:anchor="_Toc201564317" w:history="1">
            <w:r w:rsidRPr="00D834C9">
              <w:rPr>
                <w:rStyle w:val="Hyperlink"/>
                <w:rFonts w:ascii="Symbol" w:hAnsi="Symbol"/>
                <w:noProof/>
              </w:rPr>
              <w:t></w:t>
            </w:r>
            <w:r>
              <w:rPr>
                <w:rFonts w:eastAsiaTheme="minorEastAsia"/>
                <w:noProof/>
                <w:sz w:val="24"/>
                <w:szCs w:val="24"/>
                <w:lang w:eastAsia="en-GB"/>
              </w:rPr>
              <w:tab/>
            </w:r>
            <w:r w:rsidRPr="00D834C9">
              <w:rPr>
                <w:rStyle w:val="Hyperlink"/>
                <w:noProof/>
              </w:rPr>
              <w:t>Humber Local Medical Committee</w:t>
            </w:r>
            <w:r>
              <w:rPr>
                <w:noProof/>
                <w:webHidden/>
              </w:rPr>
              <w:tab/>
            </w:r>
            <w:r>
              <w:rPr>
                <w:noProof/>
                <w:webHidden/>
              </w:rPr>
              <w:fldChar w:fldCharType="begin"/>
            </w:r>
            <w:r>
              <w:rPr>
                <w:noProof/>
                <w:webHidden/>
              </w:rPr>
              <w:instrText xml:space="preserve"> PAGEREF _Toc201564317 \h </w:instrText>
            </w:r>
            <w:r>
              <w:rPr>
                <w:noProof/>
                <w:webHidden/>
              </w:rPr>
            </w:r>
            <w:r>
              <w:rPr>
                <w:noProof/>
                <w:webHidden/>
              </w:rPr>
              <w:fldChar w:fldCharType="separate"/>
            </w:r>
            <w:r>
              <w:rPr>
                <w:noProof/>
                <w:webHidden/>
              </w:rPr>
              <w:t>6</w:t>
            </w:r>
            <w:r>
              <w:rPr>
                <w:noProof/>
                <w:webHidden/>
              </w:rPr>
              <w:fldChar w:fldCharType="end"/>
            </w:r>
          </w:hyperlink>
        </w:p>
        <w:p w14:paraId="0F41EC8F" w14:textId="14C5417C" w:rsidR="006028E4" w:rsidRDefault="006028E4">
          <w:pPr>
            <w:pStyle w:val="TOC3"/>
            <w:tabs>
              <w:tab w:val="left" w:pos="960"/>
              <w:tab w:val="right" w:leader="dot" w:pos="9016"/>
            </w:tabs>
            <w:rPr>
              <w:rFonts w:eastAsiaTheme="minorEastAsia"/>
              <w:noProof/>
              <w:sz w:val="24"/>
              <w:szCs w:val="24"/>
              <w:lang w:eastAsia="en-GB"/>
            </w:rPr>
          </w:pPr>
          <w:hyperlink w:anchor="_Toc201564318" w:history="1">
            <w:r w:rsidRPr="00D834C9">
              <w:rPr>
                <w:rStyle w:val="Hyperlink"/>
                <w:rFonts w:ascii="Symbol" w:hAnsi="Symbol"/>
                <w:noProof/>
              </w:rPr>
              <w:t></w:t>
            </w:r>
            <w:r>
              <w:rPr>
                <w:rFonts w:eastAsiaTheme="minorEastAsia"/>
                <w:noProof/>
                <w:sz w:val="24"/>
                <w:szCs w:val="24"/>
                <w:lang w:eastAsia="en-GB"/>
              </w:rPr>
              <w:tab/>
            </w:r>
            <w:r w:rsidRPr="00D834C9">
              <w:rPr>
                <w:rStyle w:val="Hyperlink"/>
                <w:noProof/>
              </w:rPr>
              <w:t>General Pharmaceutical Council</w:t>
            </w:r>
            <w:r>
              <w:rPr>
                <w:noProof/>
                <w:webHidden/>
              </w:rPr>
              <w:tab/>
            </w:r>
            <w:r>
              <w:rPr>
                <w:noProof/>
                <w:webHidden/>
              </w:rPr>
              <w:fldChar w:fldCharType="begin"/>
            </w:r>
            <w:r>
              <w:rPr>
                <w:noProof/>
                <w:webHidden/>
              </w:rPr>
              <w:instrText xml:space="preserve"> PAGEREF _Toc201564318 \h </w:instrText>
            </w:r>
            <w:r>
              <w:rPr>
                <w:noProof/>
                <w:webHidden/>
              </w:rPr>
            </w:r>
            <w:r>
              <w:rPr>
                <w:noProof/>
                <w:webHidden/>
              </w:rPr>
              <w:fldChar w:fldCharType="separate"/>
            </w:r>
            <w:r>
              <w:rPr>
                <w:noProof/>
                <w:webHidden/>
              </w:rPr>
              <w:t>7</w:t>
            </w:r>
            <w:r>
              <w:rPr>
                <w:noProof/>
                <w:webHidden/>
              </w:rPr>
              <w:fldChar w:fldCharType="end"/>
            </w:r>
          </w:hyperlink>
        </w:p>
        <w:p w14:paraId="6F1CEAE9" w14:textId="07C3EA35" w:rsidR="006028E4" w:rsidRDefault="006028E4">
          <w:pPr>
            <w:pStyle w:val="TOC3"/>
            <w:tabs>
              <w:tab w:val="left" w:pos="960"/>
              <w:tab w:val="right" w:leader="dot" w:pos="9016"/>
            </w:tabs>
            <w:rPr>
              <w:rFonts w:eastAsiaTheme="minorEastAsia"/>
              <w:noProof/>
              <w:sz w:val="24"/>
              <w:szCs w:val="24"/>
              <w:lang w:eastAsia="en-GB"/>
            </w:rPr>
          </w:pPr>
          <w:hyperlink w:anchor="_Toc201564319" w:history="1">
            <w:r w:rsidRPr="00D834C9">
              <w:rPr>
                <w:rStyle w:val="Hyperlink"/>
                <w:rFonts w:ascii="Symbol" w:hAnsi="Symbol"/>
                <w:noProof/>
              </w:rPr>
              <w:t></w:t>
            </w:r>
            <w:r>
              <w:rPr>
                <w:rFonts w:eastAsiaTheme="minorEastAsia"/>
                <w:noProof/>
                <w:sz w:val="24"/>
                <w:szCs w:val="24"/>
                <w:lang w:eastAsia="en-GB"/>
              </w:rPr>
              <w:tab/>
            </w:r>
            <w:r w:rsidRPr="00D834C9">
              <w:rPr>
                <w:rStyle w:val="Hyperlink"/>
                <w:noProof/>
              </w:rPr>
              <w:t>Royal Pharmaceutical Society</w:t>
            </w:r>
            <w:r>
              <w:rPr>
                <w:noProof/>
                <w:webHidden/>
              </w:rPr>
              <w:tab/>
            </w:r>
            <w:r>
              <w:rPr>
                <w:noProof/>
                <w:webHidden/>
              </w:rPr>
              <w:fldChar w:fldCharType="begin"/>
            </w:r>
            <w:r>
              <w:rPr>
                <w:noProof/>
                <w:webHidden/>
              </w:rPr>
              <w:instrText xml:space="preserve"> PAGEREF _Toc201564319 \h </w:instrText>
            </w:r>
            <w:r>
              <w:rPr>
                <w:noProof/>
                <w:webHidden/>
              </w:rPr>
            </w:r>
            <w:r>
              <w:rPr>
                <w:noProof/>
                <w:webHidden/>
              </w:rPr>
              <w:fldChar w:fldCharType="separate"/>
            </w:r>
            <w:r>
              <w:rPr>
                <w:noProof/>
                <w:webHidden/>
              </w:rPr>
              <w:t>7</w:t>
            </w:r>
            <w:r>
              <w:rPr>
                <w:noProof/>
                <w:webHidden/>
              </w:rPr>
              <w:fldChar w:fldCharType="end"/>
            </w:r>
          </w:hyperlink>
        </w:p>
        <w:p w14:paraId="436CEFFE" w14:textId="47AFC4B7" w:rsidR="006028E4" w:rsidRDefault="006028E4">
          <w:pPr>
            <w:pStyle w:val="TOC2"/>
            <w:tabs>
              <w:tab w:val="right" w:leader="dot" w:pos="9016"/>
            </w:tabs>
            <w:rPr>
              <w:rFonts w:eastAsiaTheme="minorEastAsia"/>
              <w:noProof/>
              <w:sz w:val="24"/>
              <w:szCs w:val="24"/>
              <w:lang w:eastAsia="en-GB"/>
            </w:rPr>
          </w:pPr>
          <w:hyperlink w:anchor="_Toc201564320" w:history="1">
            <w:r w:rsidRPr="00D834C9">
              <w:rPr>
                <w:rStyle w:val="Hyperlink"/>
                <w:noProof/>
              </w:rPr>
              <w:t>Specific Advice on Contraception/Pregnancy</w:t>
            </w:r>
            <w:r>
              <w:rPr>
                <w:noProof/>
                <w:webHidden/>
              </w:rPr>
              <w:tab/>
            </w:r>
            <w:r>
              <w:rPr>
                <w:noProof/>
                <w:webHidden/>
              </w:rPr>
              <w:fldChar w:fldCharType="begin"/>
            </w:r>
            <w:r>
              <w:rPr>
                <w:noProof/>
                <w:webHidden/>
              </w:rPr>
              <w:instrText xml:space="preserve"> PAGEREF _Toc201564320 \h </w:instrText>
            </w:r>
            <w:r>
              <w:rPr>
                <w:noProof/>
                <w:webHidden/>
              </w:rPr>
            </w:r>
            <w:r>
              <w:rPr>
                <w:noProof/>
                <w:webHidden/>
              </w:rPr>
              <w:fldChar w:fldCharType="separate"/>
            </w:r>
            <w:r>
              <w:rPr>
                <w:noProof/>
                <w:webHidden/>
              </w:rPr>
              <w:t>7</w:t>
            </w:r>
            <w:r>
              <w:rPr>
                <w:noProof/>
                <w:webHidden/>
              </w:rPr>
              <w:fldChar w:fldCharType="end"/>
            </w:r>
          </w:hyperlink>
        </w:p>
        <w:p w14:paraId="453FCD26" w14:textId="3D4640B5" w:rsidR="006028E4" w:rsidRDefault="006028E4">
          <w:pPr>
            <w:pStyle w:val="TOC3"/>
            <w:tabs>
              <w:tab w:val="right" w:leader="dot" w:pos="9016"/>
            </w:tabs>
            <w:rPr>
              <w:rFonts w:eastAsiaTheme="minorEastAsia"/>
              <w:noProof/>
              <w:sz w:val="24"/>
              <w:szCs w:val="24"/>
              <w:lang w:eastAsia="en-GB"/>
            </w:rPr>
          </w:pPr>
          <w:hyperlink w:anchor="_Toc201564321" w:history="1">
            <w:r w:rsidRPr="00D834C9">
              <w:rPr>
                <w:rStyle w:val="Hyperlink"/>
                <w:noProof/>
              </w:rPr>
              <w:t>MHRA</w:t>
            </w:r>
            <w:r>
              <w:rPr>
                <w:noProof/>
                <w:webHidden/>
              </w:rPr>
              <w:tab/>
            </w:r>
            <w:r>
              <w:rPr>
                <w:noProof/>
                <w:webHidden/>
              </w:rPr>
              <w:fldChar w:fldCharType="begin"/>
            </w:r>
            <w:r>
              <w:rPr>
                <w:noProof/>
                <w:webHidden/>
              </w:rPr>
              <w:instrText xml:space="preserve"> PAGEREF _Toc201564321 \h </w:instrText>
            </w:r>
            <w:r>
              <w:rPr>
                <w:noProof/>
                <w:webHidden/>
              </w:rPr>
            </w:r>
            <w:r>
              <w:rPr>
                <w:noProof/>
                <w:webHidden/>
              </w:rPr>
              <w:fldChar w:fldCharType="separate"/>
            </w:r>
            <w:r>
              <w:rPr>
                <w:noProof/>
                <w:webHidden/>
              </w:rPr>
              <w:t>7</w:t>
            </w:r>
            <w:r>
              <w:rPr>
                <w:noProof/>
                <w:webHidden/>
              </w:rPr>
              <w:fldChar w:fldCharType="end"/>
            </w:r>
          </w:hyperlink>
        </w:p>
        <w:p w14:paraId="3BADF788" w14:textId="0D4D456E" w:rsidR="006028E4" w:rsidRDefault="006028E4">
          <w:pPr>
            <w:pStyle w:val="TOC3"/>
            <w:tabs>
              <w:tab w:val="right" w:leader="dot" w:pos="9016"/>
            </w:tabs>
            <w:rPr>
              <w:rFonts w:eastAsiaTheme="minorEastAsia"/>
              <w:noProof/>
              <w:sz w:val="24"/>
              <w:szCs w:val="24"/>
              <w:lang w:eastAsia="en-GB"/>
            </w:rPr>
          </w:pPr>
          <w:hyperlink w:anchor="_Toc201564322" w:history="1">
            <w:r w:rsidRPr="00D834C9">
              <w:rPr>
                <w:rStyle w:val="Hyperlink"/>
                <w:noProof/>
              </w:rPr>
              <w:t>FSHR</w:t>
            </w:r>
            <w:r>
              <w:rPr>
                <w:noProof/>
                <w:webHidden/>
              </w:rPr>
              <w:tab/>
            </w:r>
            <w:r>
              <w:rPr>
                <w:noProof/>
                <w:webHidden/>
              </w:rPr>
              <w:fldChar w:fldCharType="begin"/>
            </w:r>
            <w:r>
              <w:rPr>
                <w:noProof/>
                <w:webHidden/>
              </w:rPr>
              <w:instrText xml:space="preserve"> PAGEREF _Toc201564322 \h </w:instrText>
            </w:r>
            <w:r>
              <w:rPr>
                <w:noProof/>
                <w:webHidden/>
              </w:rPr>
            </w:r>
            <w:r>
              <w:rPr>
                <w:noProof/>
                <w:webHidden/>
              </w:rPr>
              <w:fldChar w:fldCharType="separate"/>
            </w:r>
            <w:r>
              <w:rPr>
                <w:noProof/>
                <w:webHidden/>
              </w:rPr>
              <w:t>7</w:t>
            </w:r>
            <w:r>
              <w:rPr>
                <w:noProof/>
                <w:webHidden/>
              </w:rPr>
              <w:fldChar w:fldCharType="end"/>
            </w:r>
          </w:hyperlink>
        </w:p>
        <w:p w14:paraId="1BFDF63F" w14:textId="72C678DC" w:rsidR="006028E4" w:rsidRDefault="006028E4">
          <w:pPr>
            <w:pStyle w:val="TOC2"/>
            <w:tabs>
              <w:tab w:val="right" w:leader="dot" w:pos="9016"/>
            </w:tabs>
            <w:rPr>
              <w:rFonts w:eastAsiaTheme="minorEastAsia"/>
              <w:noProof/>
              <w:sz w:val="24"/>
              <w:szCs w:val="24"/>
              <w:lang w:eastAsia="en-GB"/>
            </w:rPr>
          </w:pPr>
          <w:hyperlink w:anchor="_Toc201564323" w:history="1">
            <w:r w:rsidRPr="00D834C9">
              <w:rPr>
                <w:rStyle w:val="Hyperlink"/>
                <w:noProof/>
              </w:rPr>
              <w:t>Black Triangle Status</w:t>
            </w:r>
            <w:r>
              <w:rPr>
                <w:noProof/>
                <w:webHidden/>
              </w:rPr>
              <w:tab/>
            </w:r>
            <w:r>
              <w:rPr>
                <w:noProof/>
                <w:webHidden/>
              </w:rPr>
              <w:fldChar w:fldCharType="begin"/>
            </w:r>
            <w:r>
              <w:rPr>
                <w:noProof/>
                <w:webHidden/>
              </w:rPr>
              <w:instrText xml:space="preserve"> PAGEREF _Toc201564323 \h </w:instrText>
            </w:r>
            <w:r>
              <w:rPr>
                <w:noProof/>
                <w:webHidden/>
              </w:rPr>
            </w:r>
            <w:r>
              <w:rPr>
                <w:noProof/>
                <w:webHidden/>
              </w:rPr>
              <w:fldChar w:fldCharType="separate"/>
            </w:r>
            <w:r>
              <w:rPr>
                <w:noProof/>
                <w:webHidden/>
              </w:rPr>
              <w:t>8</w:t>
            </w:r>
            <w:r>
              <w:rPr>
                <w:noProof/>
                <w:webHidden/>
              </w:rPr>
              <w:fldChar w:fldCharType="end"/>
            </w:r>
          </w:hyperlink>
        </w:p>
        <w:p w14:paraId="78DCA08E" w14:textId="3E4F850D" w:rsidR="006028E4" w:rsidRDefault="006028E4">
          <w:pPr>
            <w:pStyle w:val="TOC2"/>
            <w:tabs>
              <w:tab w:val="right" w:leader="dot" w:pos="9016"/>
            </w:tabs>
            <w:rPr>
              <w:rFonts w:eastAsiaTheme="minorEastAsia"/>
              <w:noProof/>
              <w:sz w:val="24"/>
              <w:szCs w:val="24"/>
              <w:lang w:eastAsia="en-GB"/>
            </w:rPr>
          </w:pPr>
          <w:hyperlink w:anchor="_Toc201564324" w:history="1">
            <w:r w:rsidRPr="00D834C9">
              <w:rPr>
                <w:rStyle w:val="Hyperlink"/>
                <w:noProof/>
              </w:rPr>
              <w:t>Reporting Poor Practice</w:t>
            </w:r>
            <w:r>
              <w:rPr>
                <w:noProof/>
                <w:webHidden/>
              </w:rPr>
              <w:tab/>
            </w:r>
            <w:r>
              <w:rPr>
                <w:noProof/>
                <w:webHidden/>
              </w:rPr>
              <w:fldChar w:fldCharType="begin"/>
            </w:r>
            <w:r>
              <w:rPr>
                <w:noProof/>
                <w:webHidden/>
              </w:rPr>
              <w:instrText xml:space="preserve"> PAGEREF _Toc201564324 \h </w:instrText>
            </w:r>
            <w:r>
              <w:rPr>
                <w:noProof/>
                <w:webHidden/>
              </w:rPr>
            </w:r>
            <w:r>
              <w:rPr>
                <w:noProof/>
                <w:webHidden/>
              </w:rPr>
              <w:fldChar w:fldCharType="separate"/>
            </w:r>
            <w:r>
              <w:rPr>
                <w:noProof/>
                <w:webHidden/>
              </w:rPr>
              <w:t>8</w:t>
            </w:r>
            <w:r>
              <w:rPr>
                <w:noProof/>
                <w:webHidden/>
              </w:rPr>
              <w:fldChar w:fldCharType="end"/>
            </w:r>
          </w:hyperlink>
        </w:p>
        <w:p w14:paraId="43086757" w14:textId="4C42259D" w:rsidR="006028E4" w:rsidRDefault="006028E4">
          <w:pPr>
            <w:pStyle w:val="TOC2"/>
            <w:tabs>
              <w:tab w:val="right" w:leader="dot" w:pos="9016"/>
            </w:tabs>
            <w:rPr>
              <w:rFonts w:eastAsiaTheme="minorEastAsia"/>
              <w:noProof/>
              <w:sz w:val="24"/>
              <w:szCs w:val="24"/>
              <w:lang w:eastAsia="en-GB"/>
            </w:rPr>
          </w:pPr>
          <w:hyperlink w:anchor="_Toc201564325" w:history="1">
            <w:r w:rsidRPr="00D834C9">
              <w:rPr>
                <w:rStyle w:val="Hyperlink"/>
                <w:noProof/>
              </w:rPr>
              <w:t>Counterfeit and Fake Medicines</w:t>
            </w:r>
            <w:r>
              <w:rPr>
                <w:noProof/>
                <w:webHidden/>
              </w:rPr>
              <w:tab/>
            </w:r>
            <w:r>
              <w:rPr>
                <w:noProof/>
                <w:webHidden/>
              </w:rPr>
              <w:fldChar w:fldCharType="begin"/>
            </w:r>
            <w:r>
              <w:rPr>
                <w:noProof/>
                <w:webHidden/>
              </w:rPr>
              <w:instrText xml:space="preserve"> PAGEREF _Toc201564325 \h </w:instrText>
            </w:r>
            <w:r>
              <w:rPr>
                <w:noProof/>
                <w:webHidden/>
              </w:rPr>
            </w:r>
            <w:r>
              <w:rPr>
                <w:noProof/>
                <w:webHidden/>
              </w:rPr>
              <w:fldChar w:fldCharType="separate"/>
            </w:r>
            <w:r>
              <w:rPr>
                <w:noProof/>
                <w:webHidden/>
              </w:rPr>
              <w:t>8</w:t>
            </w:r>
            <w:r>
              <w:rPr>
                <w:noProof/>
                <w:webHidden/>
              </w:rPr>
              <w:fldChar w:fldCharType="end"/>
            </w:r>
          </w:hyperlink>
        </w:p>
        <w:p w14:paraId="347142E8" w14:textId="19CBB80A" w:rsidR="006028E4" w:rsidRDefault="006028E4">
          <w:pPr>
            <w:pStyle w:val="TOC2"/>
            <w:tabs>
              <w:tab w:val="right" w:leader="dot" w:pos="9016"/>
            </w:tabs>
            <w:rPr>
              <w:rFonts w:eastAsiaTheme="minorEastAsia"/>
              <w:noProof/>
              <w:sz w:val="24"/>
              <w:szCs w:val="24"/>
              <w:lang w:eastAsia="en-GB"/>
            </w:rPr>
          </w:pPr>
          <w:hyperlink w:anchor="_Toc201564326" w:history="1">
            <w:r w:rsidRPr="00D834C9">
              <w:rPr>
                <w:rStyle w:val="Hyperlink"/>
                <w:noProof/>
              </w:rPr>
              <w:t>Promoting/Advertising Prescription Only Medicines (POMs)</w:t>
            </w:r>
            <w:r>
              <w:rPr>
                <w:noProof/>
                <w:webHidden/>
              </w:rPr>
              <w:tab/>
            </w:r>
            <w:r>
              <w:rPr>
                <w:noProof/>
                <w:webHidden/>
              </w:rPr>
              <w:fldChar w:fldCharType="begin"/>
            </w:r>
            <w:r>
              <w:rPr>
                <w:noProof/>
                <w:webHidden/>
              </w:rPr>
              <w:instrText xml:space="preserve"> PAGEREF _Toc201564326 \h </w:instrText>
            </w:r>
            <w:r>
              <w:rPr>
                <w:noProof/>
                <w:webHidden/>
              </w:rPr>
            </w:r>
            <w:r>
              <w:rPr>
                <w:noProof/>
                <w:webHidden/>
              </w:rPr>
              <w:fldChar w:fldCharType="separate"/>
            </w:r>
            <w:r>
              <w:rPr>
                <w:noProof/>
                <w:webHidden/>
              </w:rPr>
              <w:t>9</w:t>
            </w:r>
            <w:r>
              <w:rPr>
                <w:noProof/>
                <w:webHidden/>
              </w:rPr>
              <w:fldChar w:fldCharType="end"/>
            </w:r>
          </w:hyperlink>
        </w:p>
        <w:p w14:paraId="78209100" w14:textId="27AA183A" w:rsidR="006028E4" w:rsidRDefault="006028E4">
          <w:pPr>
            <w:pStyle w:val="TOC2"/>
            <w:tabs>
              <w:tab w:val="right" w:leader="dot" w:pos="9016"/>
            </w:tabs>
            <w:rPr>
              <w:rFonts w:eastAsiaTheme="minorEastAsia"/>
              <w:noProof/>
              <w:sz w:val="24"/>
              <w:szCs w:val="24"/>
              <w:lang w:eastAsia="en-GB"/>
            </w:rPr>
          </w:pPr>
          <w:hyperlink w:anchor="_Toc201564327" w:history="1">
            <w:r w:rsidRPr="00D834C9">
              <w:rPr>
                <w:rStyle w:val="Hyperlink"/>
                <w:noProof/>
              </w:rPr>
              <w:t>------------------------------------</w:t>
            </w:r>
            <w:r>
              <w:rPr>
                <w:noProof/>
                <w:webHidden/>
              </w:rPr>
              <w:tab/>
            </w:r>
            <w:r>
              <w:rPr>
                <w:noProof/>
                <w:webHidden/>
              </w:rPr>
              <w:fldChar w:fldCharType="begin"/>
            </w:r>
            <w:r>
              <w:rPr>
                <w:noProof/>
                <w:webHidden/>
              </w:rPr>
              <w:instrText xml:space="preserve"> PAGEREF _Toc201564327 \h </w:instrText>
            </w:r>
            <w:r>
              <w:rPr>
                <w:noProof/>
                <w:webHidden/>
              </w:rPr>
            </w:r>
            <w:r>
              <w:rPr>
                <w:noProof/>
                <w:webHidden/>
              </w:rPr>
              <w:fldChar w:fldCharType="separate"/>
            </w:r>
            <w:r>
              <w:rPr>
                <w:noProof/>
                <w:webHidden/>
              </w:rPr>
              <w:t>10</w:t>
            </w:r>
            <w:r>
              <w:rPr>
                <w:noProof/>
                <w:webHidden/>
              </w:rPr>
              <w:fldChar w:fldCharType="end"/>
            </w:r>
          </w:hyperlink>
        </w:p>
        <w:p w14:paraId="44DF643C" w14:textId="14679B39" w:rsidR="005957FB" w:rsidRDefault="005957FB" w:rsidP="005957FB">
          <w:r>
            <w:rPr>
              <w:b/>
              <w:bCs/>
              <w:noProof/>
            </w:rPr>
            <w:fldChar w:fldCharType="end"/>
          </w:r>
        </w:p>
      </w:sdtContent>
    </w:sdt>
    <w:p w14:paraId="26229E68" w14:textId="07EDB257" w:rsidR="00B42630" w:rsidRPr="008A74D4" w:rsidRDefault="00B42630" w:rsidP="008A74D4">
      <w:pPr>
        <w:pStyle w:val="Heading2"/>
      </w:pPr>
      <w:bookmarkStart w:id="4" w:name="_Toc201564306"/>
      <w:r w:rsidRPr="008A74D4">
        <w:t>Introduction</w:t>
      </w:r>
      <w:bookmarkEnd w:id="4"/>
    </w:p>
    <w:p w14:paraId="216CF204" w14:textId="3B8B5C45" w:rsidR="00E4763A" w:rsidRDefault="00E4763A" w:rsidP="00287C40">
      <w:pPr>
        <w:jc w:val="both"/>
        <w:rPr>
          <w:sz w:val="24"/>
          <w:szCs w:val="24"/>
        </w:rPr>
      </w:pPr>
      <w:r w:rsidRPr="00287C40">
        <w:rPr>
          <w:sz w:val="24"/>
          <w:szCs w:val="24"/>
        </w:rPr>
        <w:t>We are aware of the increasing demand for weight loss drugs</w:t>
      </w:r>
      <w:r w:rsidR="0071478A">
        <w:rPr>
          <w:sz w:val="24"/>
          <w:szCs w:val="24"/>
        </w:rPr>
        <w:t>,</w:t>
      </w:r>
      <w:r w:rsidRPr="00287C40">
        <w:rPr>
          <w:sz w:val="24"/>
          <w:szCs w:val="24"/>
        </w:rPr>
        <w:t xml:space="preserve"> </w:t>
      </w:r>
      <w:r w:rsidR="0071478A">
        <w:rPr>
          <w:sz w:val="24"/>
          <w:szCs w:val="24"/>
        </w:rPr>
        <w:t xml:space="preserve">both via the NHS </w:t>
      </w:r>
      <w:r w:rsidRPr="00287C40">
        <w:rPr>
          <w:sz w:val="24"/>
          <w:szCs w:val="24"/>
        </w:rPr>
        <w:t>and the high proportion of patients who are accessing these medicines through a variety of private routes.</w:t>
      </w:r>
    </w:p>
    <w:p w14:paraId="0B733CC6" w14:textId="69A943A0" w:rsidR="008454E6" w:rsidRDefault="0071478A" w:rsidP="00287C40">
      <w:pPr>
        <w:jc w:val="both"/>
        <w:rPr>
          <w:sz w:val="24"/>
          <w:szCs w:val="24"/>
        </w:rPr>
      </w:pPr>
      <w:r>
        <w:rPr>
          <w:sz w:val="24"/>
          <w:szCs w:val="24"/>
        </w:rPr>
        <w:t>We have pulled together this resource pack for clinicians covering a variety of frequently asked questions. This information should be used as a reference/ resource when needed.</w:t>
      </w:r>
    </w:p>
    <w:p w14:paraId="0372E674" w14:textId="77777777" w:rsidR="005B1BE2" w:rsidRPr="00287C40" w:rsidRDefault="005B1BE2" w:rsidP="00287C40">
      <w:pPr>
        <w:jc w:val="both"/>
        <w:rPr>
          <w:sz w:val="24"/>
          <w:szCs w:val="24"/>
        </w:rPr>
      </w:pPr>
    </w:p>
    <w:p w14:paraId="57506E5A" w14:textId="35109F9F" w:rsidR="00561F1F" w:rsidRPr="008A74D4" w:rsidRDefault="0071478A" w:rsidP="008A74D4">
      <w:pPr>
        <w:pStyle w:val="Heading2"/>
      </w:pPr>
      <w:bookmarkStart w:id="5" w:name="_Toc201564307"/>
      <w:r w:rsidRPr="008A74D4">
        <w:t xml:space="preserve">Supply via the NHS – </w:t>
      </w:r>
      <w:r w:rsidR="00104206" w:rsidRPr="008A74D4">
        <w:t>Different Sources of Information</w:t>
      </w:r>
      <w:bookmarkEnd w:id="5"/>
    </w:p>
    <w:p w14:paraId="31B418BA" w14:textId="4FDDFDB7" w:rsidR="00EB193E" w:rsidRPr="00EB193E" w:rsidRDefault="00EB193E" w:rsidP="00EB193E">
      <w:pPr>
        <w:rPr>
          <w:sz w:val="24"/>
          <w:szCs w:val="24"/>
        </w:rPr>
      </w:pPr>
      <w:r w:rsidRPr="00EB193E">
        <w:rPr>
          <w:sz w:val="24"/>
          <w:szCs w:val="24"/>
        </w:rPr>
        <w:t>There are several sources of information about what can be prescribed, who can prescribe it and who they can prescribe it for</w:t>
      </w:r>
      <w:r>
        <w:rPr>
          <w:sz w:val="24"/>
          <w:szCs w:val="24"/>
        </w:rPr>
        <w:t>, for example, the licensed indication, the NICE Technology Appraisal and the NHS England interim commissioning guidance.</w:t>
      </w:r>
    </w:p>
    <w:p w14:paraId="3C4D4CCC" w14:textId="49FB8D0E" w:rsidR="00EB193E" w:rsidRDefault="00EB193E" w:rsidP="00EB193E">
      <w:pPr>
        <w:rPr>
          <w:sz w:val="24"/>
          <w:szCs w:val="24"/>
        </w:rPr>
      </w:pPr>
      <w:r w:rsidRPr="00EB193E">
        <w:rPr>
          <w:sz w:val="24"/>
          <w:szCs w:val="24"/>
        </w:rPr>
        <w:t xml:space="preserve">All are </w:t>
      </w:r>
      <w:r>
        <w:rPr>
          <w:sz w:val="24"/>
          <w:szCs w:val="24"/>
        </w:rPr>
        <w:t xml:space="preserve">correct and </w:t>
      </w:r>
      <w:r w:rsidRPr="00EB193E">
        <w:rPr>
          <w:sz w:val="24"/>
          <w:szCs w:val="24"/>
        </w:rPr>
        <w:t>true</w:t>
      </w:r>
      <w:r>
        <w:rPr>
          <w:sz w:val="24"/>
          <w:szCs w:val="24"/>
        </w:rPr>
        <w:t>,</w:t>
      </w:r>
      <w:r w:rsidRPr="00EB193E">
        <w:rPr>
          <w:sz w:val="24"/>
          <w:szCs w:val="24"/>
        </w:rPr>
        <w:t xml:space="preserve"> but for Humber and North Yorkshire Integrated Care System</w:t>
      </w:r>
      <w:r>
        <w:rPr>
          <w:sz w:val="24"/>
          <w:szCs w:val="24"/>
        </w:rPr>
        <w:t>,</w:t>
      </w:r>
      <w:r w:rsidRPr="00EB193E">
        <w:rPr>
          <w:sz w:val="24"/>
          <w:szCs w:val="24"/>
        </w:rPr>
        <w:t xml:space="preserve"> </w:t>
      </w:r>
      <w:r w:rsidR="00104206">
        <w:rPr>
          <w:sz w:val="24"/>
          <w:szCs w:val="24"/>
        </w:rPr>
        <w:t xml:space="preserve">we </w:t>
      </w:r>
      <w:r w:rsidRPr="00EB193E">
        <w:rPr>
          <w:sz w:val="24"/>
          <w:szCs w:val="24"/>
        </w:rPr>
        <w:t xml:space="preserve">ask that clinicians working in NHS services follow the </w:t>
      </w:r>
      <w:hyperlink r:id="rId9" w:history="1">
        <w:r w:rsidR="00104206" w:rsidRPr="008A74D4">
          <w:rPr>
            <w:rStyle w:val="Hyperlink"/>
            <w:sz w:val="24"/>
            <w:szCs w:val="24"/>
          </w:rPr>
          <w:t>NHSE Interim Commissioning Guidance</w:t>
        </w:r>
      </w:hyperlink>
      <w:r w:rsidR="00104206">
        <w:rPr>
          <w:sz w:val="24"/>
          <w:szCs w:val="24"/>
        </w:rPr>
        <w:t xml:space="preserve"> and </w:t>
      </w:r>
      <w:r w:rsidRPr="00EB193E">
        <w:rPr>
          <w:sz w:val="24"/>
          <w:szCs w:val="24"/>
        </w:rPr>
        <w:t>local HNY Area Prescribing Committee formulary position</w:t>
      </w:r>
      <w:r>
        <w:rPr>
          <w:sz w:val="24"/>
          <w:szCs w:val="24"/>
        </w:rPr>
        <w:t>.</w:t>
      </w:r>
    </w:p>
    <w:p w14:paraId="799A555B" w14:textId="12923F9F" w:rsidR="00104206" w:rsidRDefault="00104206" w:rsidP="00EB193E">
      <w:pPr>
        <w:rPr>
          <w:sz w:val="24"/>
          <w:szCs w:val="24"/>
        </w:rPr>
      </w:pPr>
      <w:r>
        <w:rPr>
          <w:sz w:val="24"/>
          <w:szCs w:val="24"/>
        </w:rPr>
        <w:t>This will need to be followed for each drug AND for each indication.</w:t>
      </w:r>
    </w:p>
    <w:p w14:paraId="2EF0C65B" w14:textId="65F652D8" w:rsidR="00104206" w:rsidRPr="008A74D4" w:rsidRDefault="00104206" w:rsidP="008A74D4">
      <w:pPr>
        <w:pStyle w:val="Heading3"/>
        <w:rPr>
          <w:sz w:val="32"/>
          <w:szCs w:val="32"/>
        </w:rPr>
      </w:pPr>
      <w:bookmarkStart w:id="6" w:name="_Toc201564308"/>
      <w:r w:rsidRPr="008A74D4">
        <w:rPr>
          <w:sz w:val="32"/>
          <w:szCs w:val="32"/>
        </w:rPr>
        <w:t>HNY ICB Commissioning Position</w:t>
      </w:r>
      <w:bookmarkEnd w:id="6"/>
    </w:p>
    <w:p w14:paraId="7DE049E7" w14:textId="3BE70708" w:rsidR="00104206" w:rsidRPr="006028E4" w:rsidRDefault="00104206" w:rsidP="00104206">
      <w:pPr>
        <w:pStyle w:val="ListParagraph"/>
        <w:numPr>
          <w:ilvl w:val="0"/>
          <w:numId w:val="26"/>
        </w:numPr>
        <w:rPr>
          <w:sz w:val="24"/>
          <w:szCs w:val="24"/>
        </w:rPr>
      </w:pPr>
      <w:r w:rsidRPr="006028E4">
        <w:rPr>
          <w:i/>
          <w:iCs/>
          <w:sz w:val="24"/>
          <w:szCs w:val="24"/>
        </w:rPr>
        <w:t xml:space="preserve">Tirzepatide (all strengths) pre-filled pen devices for subcutaneous injection for overweight and obesity is approved as 'red-specialist use only', as part of an </w:t>
      </w:r>
      <w:r w:rsidR="006028E4" w:rsidRPr="006028E4">
        <w:rPr>
          <w:i/>
          <w:iCs/>
          <w:sz w:val="24"/>
          <w:szCs w:val="24"/>
        </w:rPr>
        <w:t>ICB-approved</w:t>
      </w:r>
      <w:r w:rsidRPr="006028E4">
        <w:rPr>
          <w:i/>
          <w:iCs/>
          <w:sz w:val="24"/>
          <w:szCs w:val="24"/>
        </w:rPr>
        <w:t xml:space="preserve"> commissioned service. Tirzepatide is only commissioned for patients, as per the </w:t>
      </w:r>
      <w:hyperlink r:id="rId10" w:history="1">
        <w:r w:rsidRPr="006028E4">
          <w:rPr>
            <w:rStyle w:val="Hyperlink"/>
            <w:i/>
            <w:iCs/>
            <w:sz w:val="24"/>
            <w:szCs w:val="24"/>
          </w:rPr>
          <w:t>NHSE interim commissioning guidance</w:t>
        </w:r>
      </w:hyperlink>
      <w:r w:rsidRPr="006028E4">
        <w:rPr>
          <w:i/>
          <w:iCs/>
          <w:sz w:val="24"/>
          <w:szCs w:val="24"/>
        </w:rPr>
        <w:t xml:space="preserve"> in year 1</w:t>
      </w:r>
      <w:r w:rsidR="006028E4">
        <w:rPr>
          <w:i/>
          <w:iCs/>
          <w:sz w:val="24"/>
          <w:szCs w:val="24"/>
        </w:rPr>
        <w:t xml:space="preserve">, </w:t>
      </w:r>
      <w:r w:rsidRPr="006028E4">
        <w:rPr>
          <w:i/>
          <w:iCs/>
          <w:sz w:val="24"/>
          <w:szCs w:val="24"/>
        </w:rPr>
        <w:t xml:space="preserve">who have a BMI ≥ 40** and ≥ 4 'qualifying' comorbidities: hypertension, dyslipidaemia, obstructive sleep apnoea, cardiovascular disease, type 2 diabetes. </w:t>
      </w:r>
    </w:p>
    <w:p w14:paraId="20801CAE" w14:textId="77777777" w:rsidR="00104206" w:rsidRPr="006028E4" w:rsidRDefault="00104206" w:rsidP="00104206">
      <w:pPr>
        <w:rPr>
          <w:sz w:val="24"/>
          <w:szCs w:val="24"/>
        </w:rPr>
      </w:pPr>
      <w:r w:rsidRPr="006028E4">
        <w:rPr>
          <w:i/>
          <w:iCs/>
          <w:sz w:val="24"/>
          <w:szCs w:val="24"/>
        </w:rPr>
        <w:t xml:space="preserve">Patients must qualify at the point of entry into NHS services. </w:t>
      </w:r>
    </w:p>
    <w:p w14:paraId="6DD8F921" w14:textId="77777777" w:rsidR="00104206" w:rsidRPr="006028E4" w:rsidRDefault="00104206" w:rsidP="00104206">
      <w:pPr>
        <w:rPr>
          <w:sz w:val="24"/>
          <w:szCs w:val="24"/>
        </w:rPr>
      </w:pPr>
      <w:r w:rsidRPr="006028E4">
        <w:rPr>
          <w:i/>
          <w:iCs/>
          <w:sz w:val="24"/>
          <w:szCs w:val="24"/>
        </w:rPr>
        <w:t>Patients should only be prescribed tirzepatide for overweight and obesity if they meet the above criteria, and it should only be prescribed by the approved commissioned service. It should not be prescribed for overweight and obesity outside the approved commissioned service.</w:t>
      </w:r>
    </w:p>
    <w:p w14:paraId="4D4E9BA8" w14:textId="77777777" w:rsidR="00104206" w:rsidRPr="00104206" w:rsidRDefault="00104206" w:rsidP="00104206">
      <w:pPr>
        <w:rPr>
          <w:sz w:val="24"/>
          <w:szCs w:val="24"/>
        </w:rPr>
      </w:pPr>
      <w:r w:rsidRPr="006028E4">
        <w:rPr>
          <w:i/>
          <w:iCs/>
          <w:sz w:val="24"/>
          <w:szCs w:val="24"/>
        </w:rPr>
        <w:lastRenderedPageBreak/>
        <w:t>** Use a lower BMI threshold (usually reduced by 2.5 kg/m</w:t>
      </w:r>
      <w:proofErr w:type="gramStart"/>
      <w:r w:rsidRPr="006028E4">
        <w:rPr>
          <w:i/>
          <w:iCs/>
          <w:sz w:val="24"/>
          <w:szCs w:val="24"/>
        </w:rPr>
        <w:t>2 )</w:t>
      </w:r>
      <w:proofErr w:type="gramEnd"/>
      <w:r w:rsidRPr="006028E4">
        <w:rPr>
          <w:i/>
          <w:iCs/>
          <w:sz w:val="24"/>
          <w:szCs w:val="24"/>
        </w:rPr>
        <w:t xml:space="preserve"> for people from South Asian, Chinese, other Asian, Middle Eastern, Black African or African-Caribbean ethnic backgrounds**</w:t>
      </w:r>
    </w:p>
    <w:p w14:paraId="7D39E886" w14:textId="44AF5545" w:rsidR="00104206" w:rsidRDefault="00104206" w:rsidP="00104206">
      <w:pPr>
        <w:pStyle w:val="ListParagraph"/>
        <w:numPr>
          <w:ilvl w:val="0"/>
          <w:numId w:val="26"/>
        </w:numPr>
        <w:rPr>
          <w:sz w:val="24"/>
          <w:szCs w:val="24"/>
        </w:rPr>
      </w:pPr>
      <w:r w:rsidRPr="00104206">
        <w:rPr>
          <w:sz w:val="24"/>
          <w:szCs w:val="24"/>
        </w:rPr>
        <w:t>Semaglutide for overweight and obesity may be prescribed by Tier 3 weight management services only.</w:t>
      </w:r>
    </w:p>
    <w:p w14:paraId="153756F8" w14:textId="77777777" w:rsidR="00104206" w:rsidRPr="00104206" w:rsidRDefault="00104206" w:rsidP="00104206">
      <w:pPr>
        <w:pStyle w:val="ListParagraph"/>
        <w:rPr>
          <w:sz w:val="24"/>
          <w:szCs w:val="24"/>
        </w:rPr>
      </w:pPr>
    </w:p>
    <w:p w14:paraId="2C221652" w14:textId="248D6C3B" w:rsidR="00104206" w:rsidRPr="00104206" w:rsidRDefault="00104206" w:rsidP="00104206">
      <w:pPr>
        <w:pStyle w:val="ListParagraph"/>
        <w:numPr>
          <w:ilvl w:val="0"/>
          <w:numId w:val="26"/>
        </w:numPr>
      </w:pPr>
      <w:r w:rsidRPr="00104206">
        <w:rPr>
          <w:sz w:val="24"/>
          <w:szCs w:val="24"/>
        </w:rPr>
        <w:t xml:space="preserve">All GLP-1s can be used for type-2 diabetes (not overweight and obesity) in line with the </w:t>
      </w:r>
      <w:hyperlink r:id="rId11">
        <w:r w:rsidRPr="00104206">
          <w:rPr>
            <w:rStyle w:val="Hyperlink"/>
            <w:color w:val="auto"/>
            <w:sz w:val="24"/>
            <w:szCs w:val="24"/>
          </w:rPr>
          <w:t>HNY Type 2 diabetes algorithm</w:t>
        </w:r>
      </w:hyperlink>
    </w:p>
    <w:p w14:paraId="612A4642" w14:textId="4C4CD9CC" w:rsidR="008A74D4" w:rsidRPr="006028E4" w:rsidRDefault="00EB193E" w:rsidP="008A74D4">
      <w:pPr>
        <w:rPr>
          <w:b/>
          <w:bCs/>
          <w:sz w:val="24"/>
          <w:szCs w:val="24"/>
          <w:u w:val="single"/>
        </w:rPr>
      </w:pPr>
      <w:r w:rsidRPr="006028E4">
        <w:rPr>
          <w:b/>
          <w:bCs/>
          <w:sz w:val="24"/>
          <w:szCs w:val="24"/>
          <w:u w:val="single"/>
        </w:rPr>
        <w:t>A summary of this i</w:t>
      </w:r>
      <w:r w:rsidR="00104206" w:rsidRPr="006028E4">
        <w:rPr>
          <w:b/>
          <w:bCs/>
          <w:sz w:val="24"/>
          <w:szCs w:val="24"/>
          <w:u w:val="single"/>
        </w:rPr>
        <w:t xml:space="preserve">nformation is </w:t>
      </w:r>
      <w:r w:rsidR="006028E4" w:rsidRPr="006028E4">
        <w:rPr>
          <w:b/>
          <w:bCs/>
          <w:sz w:val="24"/>
          <w:szCs w:val="24"/>
          <w:u w:val="single"/>
        </w:rPr>
        <w:t>available as a separate summary table document.</w:t>
      </w:r>
    </w:p>
    <w:p w14:paraId="05732430" w14:textId="39C62CF2" w:rsidR="005B1BE2" w:rsidRDefault="005B1BE2" w:rsidP="005B1BE2">
      <w:pPr>
        <w:rPr>
          <w:sz w:val="24"/>
          <w:szCs w:val="24"/>
        </w:rPr>
      </w:pPr>
      <w:r w:rsidRPr="005B1BE2">
        <w:rPr>
          <w:sz w:val="24"/>
          <w:szCs w:val="24"/>
        </w:rPr>
        <w:t xml:space="preserve">We have yet to finalise the ICB-approved commissioned service. </w:t>
      </w:r>
      <w:r w:rsidRPr="00D35B72">
        <w:rPr>
          <w:sz w:val="24"/>
          <w:szCs w:val="24"/>
        </w:rPr>
        <w:t xml:space="preserve">Further commissioning information will follow regarding the commissioning of these medicines in primary care for overweight and obesity. Any </w:t>
      </w:r>
      <w:r>
        <w:rPr>
          <w:sz w:val="24"/>
          <w:szCs w:val="24"/>
        </w:rPr>
        <w:t xml:space="preserve">updates in the </w:t>
      </w:r>
      <w:r w:rsidRPr="00D35B72">
        <w:rPr>
          <w:sz w:val="24"/>
          <w:szCs w:val="24"/>
        </w:rPr>
        <w:t>commissioning of these medicines will be unambiguous and communicated to all relevant stakeholders.</w:t>
      </w:r>
    </w:p>
    <w:p w14:paraId="42574B72" w14:textId="2A0D9E99" w:rsidR="005B1BE2" w:rsidRPr="00D35B72" w:rsidRDefault="005B1BE2" w:rsidP="005B1BE2">
      <w:pPr>
        <w:pStyle w:val="NoSpacing"/>
        <w:jc w:val="both"/>
        <w:rPr>
          <w:sz w:val="24"/>
          <w:szCs w:val="24"/>
        </w:rPr>
      </w:pPr>
      <w:r w:rsidRPr="00D35B72">
        <w:rPr>
          <w:sz w:val="24"/>
          <w:szCs w:val="24"/>
        </w:rPr>
        <w:t xml:space="preserve">We ask all NHS Clinicians working within NHS Humber and North Yorkshire Integrated Care System to only prescribe </w:t>
      </w:r>
      <w:r>
        <w:rPr>
          <w:sz w:val="24"/>
          <w:szCs w:val="24"/>
        </w:rPr>
        <w:t xml:space="preserve">GLP-1 </w:t>
      </w:r>
      <w:r w:rsidRPr="00D35B72">
        <w:rPr>
          <w:sz w:val="24"/>
          <w:szCs w:val="24"/>
        </w:rPr>
        <w:t xml:space="preserve">medicines (on the NHS) in line with </w:t>
      </w:r>
      <w:r>
        <w:rPr>
          <w:sz w:val="24"/>
          <w:szCs w:val="24"/>
        </w:rPr>
        <w:t xml:space="preserve">the </w:t>
      </w:r>
      <w:r w:rsidRPr="00D35B72">
        <w:rPr>
          <w:sz w:val="24"/>
          <w:szCs w:val="24"/>
        </w:rPr>
        <w:t>local commissioning arrangements.</w:t>
      </w:r>
    </w:p>
    <w:p w14:paraId="15D5B396" w14:textId="77777777" w:rsidR="005B1BE2" w:rsidRPr="00D35B72" w:rsidRDefault="005B1BE2" w:rsidP="005B1BE2">
      <w:pPr>
        <w:pStyle w:val="NoSpacing"/>
        <w:jc w:val="both"/>
        <w:rPr>
          <w:sz w:val="24"/>
          <w:szCs w:val="24"/>
        </w:rPr>
      </w:pPr>
    </w:p>
    <w:p w14:paraId="49315ABF" w14:textId="77777777" w:rsidR="005B1BE2" w:rsidRPr="005B1BE2" w:rsidRDefault="005B1BE2" w:rsidP="008A74D4">
      <w:pPr>
        <w:rPr>
          <w:sz w:val="24"/>
          <w:szCs w:val="24"/>
        </w:rPr>
      </w:pPr>
    </w:p>
    <w:p w14:paraId="37E080A6" w14:textId="0CDF0AEE" w:rsidR="008A74D4" w:rsidRDefault="008A74D4" w:rsidP="008A74D4">
      <w:pPr>
        <w:pStyle w:val="Heading3"/>
        <w:rPr>
          <w:sz w:val="32"/>
          <w:szCs w:val="32"/>
        </w:rPr>
      </w:pPr>
      <w:bookmarkStart w:id="7" w:name="_Toc201564309"/>
      <w:r w:rsidRPr="008A74D4">
        <w:rPr>
          <w:sz w:val="32"/>
          <w:szCs w:val="32"/>
        </w:rPr>
        <w:t>NICE Technology Appraisal</w:t>
      </w:r>
      <w:r>
        <w:rPr>
          <w:sz w:val="32"/>
          <w:szCs w:val="32"/>
        </w:rPr>
        <w:t>s (for overweight and obesity)</w:t>
      </w:r>
      <w:bookmarkEnd w:id="7"/>
      <w:r w:rsidRPr="008A74D4">
        <w:rPr>
          <w:sz w:val="32"/>
          <w:szCs w:val="32"/>
        </w:rPr>
        <w:t xml:space="preserve"> </w:t>
      </w:r>
    </w:p>
    <w:p w14:paraId="0E7DEA07" w14:textId="0C5F1CCC" w:rsidR="008A74D4" w:rsidRDefault="008A74D4" w:rsidP="008A74D4">
      <w:pPr>
        <w:pStyle w:val="Heading3"/>
      </w:pPr>
      <w:bookmarkStart w:id="8" w:name="_Toc201564310"/>
      <w:r>
        <w:t xml:space="preserve">NICE TA – Semaglutide (as </w:t>
      </w:r>
      <w:proofErr w:type="spellStart"/>
      <w:r>
        <w:t>Wegovy</w:t>
      </w:r>
      <w:proofErr w:type="spellEnd"/>
      <w:r>
        <w:t>)</w:t>
      </w:r>
      <w:bookmarkEnd w:id="8"/>
    </w:p>
    <w:p w14:paraId="0F87D833" w14:textId="77777777" w:rsidR="008A74D4" w:rsidRPr="00287C40" w:rsidRDefault="008A74D4" w:rsidP="008A74D4">
      <w:pPr>
        <w:rPr>
          <w:rStyle w:val="Hyperlink"/>
          <w:rFonts w:ascii="Aptos" w:hAnsi="Aptos"/>
          <w:b/>
          <w:bCs/>
          <w:sz w:val="24"/>
          <w:szCs w:val="24"/>
        </w:rPr>
      </w:pPr>
      <w:r w:rsidRPr="00287C40">
        <w:rPr>
          <w:rFonts w:ascii="Aptos" w:hAnsi="Aptos"/>
          <w:b/>
          <w:bCs/>
          <w:sz w:val="24"/>
          <w:szCs w:val="24"/>
        </w:rPr>
        <w:fldChar w:fldCharType="begin"/>
      </w:r>
      <w:r w:rsidRPr="00287C40">
        <w:rPr>
          <w:rFonts w:ascii="Aptos" w:hAnsi="Aptos"/>
          <w:b/>
          <w:bCs/>
          <w:sz w:val="24"/>
          <w:szCs w:val="24"/>
        </w:rPr>
        <w:instrText>HYPERLINK "https://www.nice.org.uk/guidance/ta875"</w:instrText>
      </w:r>
      <w:r w:rsidRPr="00287C40">
        <w:rPr>
          <w:rFonts w:ascii="Aptos" w:hAnsi="Aptos"/>
          <w:b/>
          <w:bCs/>
          <w:sz w:val="24"/>
          <w:szCs w:val="24"/>
        </w:rPr>
      </w:r>
      <w:r w:rsidRPr="00287C40">
        <w:rPr>
          <w:rFonts w:ascii="Aptos" w:hAnsi="Aptos"/>
          <w:b/>
          <w:bCs/>
          <w:sz w:val="24"/>
          <w:szCs w:val="24"/>
        </w:rPr>
        <w:fldChar w:fldCharType="separate"/>
      </w:r>
      <w:r w:rsidRPr="00287C40">
        <w:rPr>
          <w:rStyle w:val="Hyperlink"/>
          <w:rFonts w:ascii="Aptos" w:hAnsi="Aptos"/>
          <w:b/>
          <w:bCs/>
          <w:sz w:val="24"/>
          <w:szCs w:val="24"/>
        </w:rPr>
        <w:t>Semaglutide for managing overweight and obesity - NICE TA 875</w:t>
      </w:r>
    </w:p>
    <w:p w14:paraId="697DE535" w14:textId="77777777" w:rsidR="008A74D4" w:rsidRPr="00B842DE" w:rsidRDefault="008A74D4" w:rsidP="008A74D4">
      <w:pPr>
        <w:rPr>
          <w:rFonts w:ascii="Aptos" w:hAnsi="Aptos"/>
          <w:sz w:val="24"/>
          <w:szCs w:val="24"/>
        </w:rPr>
      </w:pPr>
      <w:r w:rsidRPr="00287C40">
        <w:rPr>
          <w:rFonts w:ascii="Aptos" w:hAnsi="Aptos"/>
          <w:b/>
          <w:bCs/>
          <w:sz w:val="24"/>
          <w:szCs w:val="24"/>
        </w:rPr>
        <w:fldChar w:fldCharType="end"/>
      </w:r>
      <w:r w:rsidRPr="00B842DE">
        <w:rPr>
          <w:rFonts w:ascii="Aptos" w:hAnsi="Aptos"/>
          <w:sz w:val="24"/>
          <w:szCs w:val="24"/>
        </w:rPr>
        <w:t>Semaglutide is recommended as an option for weight management, including weight loss and weight maintenance, alongside a reduced-calorie diet and increased physical activity in adults, only if:</w:t>
      </w:r>
    </w:p>
    <w:p w14:paraId="1DCF0370" w14:textId="77777777" w:rsidR="008A74D4" w:rsidRPr="00B842DE" w:rsidRDefault="008A74D4" w:rsidP="008A74D4">
      <w:pPr>
        <w:numPr>
          <w:ilvl w:val="0"/>
          <w:numId w:val="25"/>
        </w:numPr>
        <w:rPr>
          <w:rFonts w:ascii="Aptos" w:hAnsi="Aptos"/>
          <w:sz w:val="24"/>
          <w:szCs w:val="24"/>
        </w:rPr>
      </w:pPr>
      <w:r w:rsidRPr="00B842DE">
        <w:rPr>
          <w:rFonts w:ascii="Aptos" w:hAnsi="Aptos"/>
          <w:sz w:val="24"/>
          <w:szCs w:val="24"/>
        </w:rPr>
        <w:t>it is used for a maximum of 2 years, and within a specialist weight management service providing multidisciplinary management of overweight or obesity (including but not limited to tiers 3 and 4), and</w:t>
      </w:r>
    </w:p>
    <w:p w14:paraId="29C3A9B8" w14:textId="77777777" w:rsidR="008A74D4" w:rsidRPr="00B842DE" w:rsidRDefault="008A74D4" w:rsidP="008A74D4">
      <w:pPr>
        <w:numPr>
          <w:ilvl w:val="0"/>
          <w:numId w:val="25"/>
        </w:numPr>
        <w:rPr>
          <w:rFonts w:ascii="Aptos" w:hAnsi="Aptos"/>
          <w:sz w:val="24"/>
          <w:szCs w:val="24"/>
        </w:rPr>
      </w:pPr>
      <w:r w:rsidRPr="00B842DE">
        <w:rPr>
          <w:rFonts w:ascii="Aptos" w:hAnsi="Aptos"/>
          <w:sz w:val="24"/>
          <w:szCs w:val="24"/>
        </w:rPr>
        <w:t>they have at least 1 weight-related comorbidity and:</w:t>
      </w:r>
    </w:p>
    <w:p w14:paraId="5252BD00" w14:textId="77777777" w:rsidR="008A74D4" w:rsidRPr="00B842DE" w:rsidRDefault="008A74D4" w:rsidP="008A74D4">
      <w:pPr>
        <w:numPr>
          <w:ilvl w:val="1"/>
          <w:numId w:val="25"/>
        </w:numPr>
        <w:rPr>
          <w:rFonts w:ascii="Aptos" w:hAnsi="Aptos"/>
          <w:sz w:val="24"/>
          <w:szCs w:val="24"/>
        </w:rPr>
      </w:pPr>
      <w:r w:rsidRPr="00B842DE">
        <w:rPr>
          <w:rFonts w:ascii="Aptos" w:hAnsi="Aptos"/>
          <w:sz w:val="24"/>
          <w:szCs w:val="24"/>
        </w:rPr>
        <w:t>a body mass index (BMI) of at least 35.0 kg/m</w:t>
      </w:r>
      <w:r w:rsidRPr="00B842DE">
        <w:rPr>
          <w:rFonts w:ascii="Aptos" w:hAnsi="Aptos"/>
          <w:sz w:val="24"/>
          <w:szCs w:val="24"/>
          <w:vertAlign w:val="superscript"/>
        </w:rPr>
        <w:t>2</w:t>
      </w:r>
      <w:r w:rsidRPr="00B842DE">
        <w:rPr>
          <w:rFonts w:ascii="Aptos" w:hAnsi="Aptos"/>
          <w:sz w:val="24"/>
          <w:szCs w:val="24"/>
        </w:rPr>
        <w:t>, or</w:t>
      </w:r>
    </w:p>
    <w:p w14:paraId="4B299BF1" w14:textId="77777777" w:rsidR="008A74D4" w:rsidRPr="00B842DE" w:rsidRDefault="008A74D4" w:rsidP="008A74D4">
      <w:pPr>
        <w:numPr>
          <w:ilvl w:val="1"/>
          <w:numId w:val="25"/>
        </w:numPr>
        <w:rPr>
          <w:rFonts w:ascii="Aptos" w:hAnsi="Aptos"/>
          <w:sz w:val="24"/>
          <w:szCs w:val="24"/>
        </w:rPr>
      </w:pPr>
      <w:r w:rsidRPr="00B842DE">
        <w:rPr>
          <w:rFonts w:ascii="Aptos" w:hAnsi="Aptos"/>
          <w:sz w:val="24"/>
          <w:szCs w:val="24"/>
        </w:rPr>
        <w:t>a BMI of 30.0 kg/m</w:t>
      </w:r>
      <w:r w:rsidRPr="00B842DE">
        <w:rPr>
          <w:rFonts w:ascii="Aptos" w:hAnsi="Aptos"/>
          <w:sz w:val="24"/>
          <w:szCs w:val="24"/>
          <w:vertAlign w:val="superscript"/>
        </w:rPr>
        <w:t>2</w:t>
      </w:r>
      <w:r w:rsidRPr="00B842DE">
        <w:rPr>
          <w:rFonts w:ascii="Aptos" w:hAnsi="Aptos"/>
          <w:sz w:val="24"/>
          <w:szCs w:val="24"/>
        </w:rPr>
        <w:t> to 34.9 kg/m</w:t>
      </w:r>
      <w:r w:rsidRPr="00B842DE">
        <w:rPr>
          <w:rFonts w:ascii="Aptos" w:hAnsi="Aptos"/>
          <w:sz w:val="24"/>
          <w:szCs w:val="24"/>
          <w:vertAlign w:val="superscript"/>
        </w:rPr>
        <w:t>2</w:t>
      </w:r>
      <w:r w:rsidRPr="00B842DE">
        <w:rPr>
          <w:rFonts w:ascii="Aptos" w:hAnsi="Aptos"/>
          <w:sz w:val="24"/>
          <w:szCs w:val="24"/>
        </w:rPr>
        <w:t> and meet the criteria for referral to specialist overweight and obesity management services in </w:t>
      </w:r>
      <w:hyperlink r:id="rId12" w:tgtFrame="_top" w:history="1">
        <w:r w:rsidRPr="00B842DE">
          <w:rPr>
            <w:rStyle w:val="Hyperlink"/>
            <w:rFonts w:ascii="Aptos" w:hAnsi="Aptos"/>
            <w:sz w:val="24"/>
            <w:szCs w:val="24"/>
          </w:rPr>
          <w:t>NICE's guideline on overweight and obesity management</w:t>
        </w:r>
      </w:hyperlink>
      <w:r w:rsidRPr="00B842DE">
        <w:rPr>
          <w:rFonts w:ascii="Aptos" w:hAnsi="Aptos"/>
          <w:sz w:val="24"/>
          <w:szCs w:val="24"/>
        </w:rPr>
        <w:t>.</w:t>
      </w:r>
    </w:p>
    <w:p w14:paraId="16503875" w14:textId="77777777" w:rsidR="008A74D4" w:rsidRPr="00B37420" w:rsidRDefault="008A74D4" w:rsidP="008A74D4">
      <w:pPr>
        <w:jc w:val="both"/>
        <w:rPr>
          <w:rFonts w:ascii="Aptos" w:hAnsi="Aptos"/>
          <w:sz w:val="24"/>
          <w:szCs w:val="24"/>
        </w:rPr>
      </w:pPr>
      <w:r w:rsidRPr="00B37420">
        <w:rPr>
          <w:rFonts w:ascii="Aptos" w:hAnsi="Aptos"/>
          <w:sz w:val="24"/>
          <w:szCs w:val="24"/>
        </w:rPr>
        <w:t>Use lower BMI thresholds (usually reduced by 2.5 kg/m2) for people from South Asian, Chinese, other Asian, Middle Eastern, Black African or African-Caribbean family backgrounds.</w:t>
      </w:r>
    </w:p>
    <w:p w14:paraId="1E92940F" w14:textId="77777777" w:rsidR="008A74D4" w:rsidRPr="00B842DE" w:rsidRDefault="008A74D4" w:rsidP="008A74D4">
      <w:pPr>
        <w:jc w:val="both"/>
        <w:rPr>
          <w:rFonts w:ascii="Aptos" w:hAnsi="Aptos"/>
          <w:sz w:val="24"/>
          <w:szCs w:val="24"/>
        </w:rPr>
      </w:pPr>
      <w:proofErr w:type="spellStart"/>
      <w:r w:rsidRPr="00287C40">
        <w:rPr>
          <w:rFonts w:ascii="Aptos" w:hAnsi="Aptos"/>
          <w:sz w:val="24"/>
          <w:szCs w:val="24"/>
        </w:rPr>
        <w:lastRenderedPageBreak/>
        <w:t>Wegovy</w:t>
      </w:r>
      <w:proofErr w:type="spellEnd"/>
      <w:r w:rsidRPr="00287C40">
        <w:rPr>
          <w:rFonts w:ascii="Aptos" w:hAnsi="Aptos"/>
          <w:sz w:val="24"/>
          <w:szCs w:val="24"/>
        </w:rPr>
        <w:t xml:space="preserve"> is NOT suitable for prescribing in primary care (any setting</w:t>
      </w:r>
      <w:r>
        <w:rPr>
          <w:rFonts w:ascii="Aptos" w:hAnsi="Aptos"/>
          <w:sz w:val="24"/>
          <w:szCs w:val="24"/>
        </w:rPr>
        <w:t xml:space="preserve"> of primary care</w:t>
      </w:r>
      <w:r w:rsidRPr="00287C40">
        <w:rPr>
          <w:rFonts w:ascii="Aptos" w:hAnsi="Aptos"/>
          <w:sz w:val="24"/>
          <w:szCs w:val="24"/>
        </w:rPr>
        <w:t xml:space="preserve">) on the NHS for overweight and obesity. </w:t>
      </w:r>
      <w:proofErr w:type="spellStart"/>
      <w:r w:rsidRPr="00287C40">
        <w:rPr>
          <w:rFonts w:ascii="Aptos" w:hAnsi="Aptos"/>
          <w:sz w:val="24"/>
          <w:szCs w:val="24"/>
        </w:rPr>
        <w:t>Wegovy</w:t>
      </w:r>
      <w:proofErr w:type="spellEnd"/>
      <w:r w:rsidRPr="00287C40">
        <w:rPr>
          <w:rFonts w:ascii="Aptos" w:hAnsi="Aptos"/>
          <w:sz w:val="24"/>
          <w:szCs w:val="24"/>
        </w:rPr>
        <w:t>® should NOT be prescribed on the NHS for overweight and obesity, in primary care, unless otherwise advised to do so.</w:t>
      </w:r>
    </w:p>
    <w:p w14:paraId="7846B5B9" w14:textId="6DC60636" w:rsidR="008A74D4" w:rsidRDefault="008A74D4" w:rsidP="008A74D4">
      <w:pPr>
        <w:pStyle w:val="Heading3"/>
      </w:pPr>
      <w:bookmarkStart w:id="9" w:name="_Toc201564311"/>
      <w:r>
        <w:t>NICE TA Tirzepatide (</w:t>
      </w:r>
      <w:r w:rsidRPr="000E62C0">
        <w:t>Mounjaro</w:t>
      </w:r>
      <w:r>
        <w:t>)</w:t>
      </w:r>
      <w:bookmarkEnd w:id="9"/>
    </w:p>
    <w:p w14:paraId="4BB675D7" w14:textId="77777777" w:rsidR="008A74D4" w:rsidRPr="00287C40" w:rsidRDefault="008A74D4" w:rsidP="008A74D4">
      <w:pPr>
        <w:rPr>
          <w:rFonts w:ascii="Aptos" w:hAnsi="Aptos"/>
          <w:b/>
          <w:bCs/>
          <w:sz w:val="24"/>
          <w:szCs w:val="24"/>
        </w:rPr>
      </w:pPr>
      <w:hyperlink r:id="rId13" w:history="1">
        <w:r w:rsidRPr="00287C40">
          <w:rPr>
            <w:rStyle w:val="Hyperlink"/>
            <w:rFonts w:ascii="Aptos" w:hAnsi="Aptos"/>
            <w:b/>
            <w:bCs/>
            <w:sz w:val="24"/>
            <w:szCs w:val="24"/>
          </w:rPr>
          <w:t>Tirzepatide for managing overweight and obesity – NICE TA 1026</w:t>
        </w:r>
      </w:hyperlink>
    </w:p>
    <w:p w14:paraId="31D387DB" w14:textId="77777777" w:rsidR="008A74D4" w:rsidRPr="00287C40" w:rsidRDefault="008A74D4" w:rsidP="008A74D4">
      <w:pPr>
        <w:spacing w:after="0" w:line="240" w:lineRule="auto"/>
        <w:rPr>
          <w:rFonts w:ascii="Aptos" w:hAnsi="Aptos"/>
          <w:sz w:val="24"/>
          <w:szCs w:val="24"/>
        </w:rPr>
      </w:pPr>
      <w:r w:rsidRPr="00287C40">
        <w:rPr>
          <w:rFonts w:ascii="Aptos" w:hAnsi="Aptos"/>
          <w:sz w:val="24"/>
          <w:szCs w:val="24"/>
        </w:rPr>
        <w:t xml:space="preserve">Tirzepatide (Mounjaro®) is recommended by NICE TA1026 for managing obesity alongside a reduced calorie diet and increased physical activity in adults, only if they have: </w:t>
      </w:r>
    </w:p>
    <w:p w14:paraId="1B0FB2BB" w14:textId="77777777" w:rsidR="008A74D4" w:rsidRPr="00287C40" w:rsidRDefault="008A74D4" w:rsidP="008A74D4">
      <w:pPr>
        <w:spacing w:after="0" w:line="240" w:lineRule="auto"/>
        <w:rPr>
          <w:rFonts w:ascii="Aptos" w:hAnsi="Aptos"/>
          <w:sz w:val="24"/>
          <w:szCs w:val="24"/>
        </w:rPr>
      </w:pPr>
    </w:p>
    <w:p w14:paraId="44485F10" w14:textId="77777777" w:rsidR="008A74D4" w:rsidRPr="00287C40" w:rsidRDefault="008A74D4" w:rsidP="008A74D4">
      <w:pPr>
        <w:pStyle w:val="ListParagraph"/>
        <w:numPr>
          <w:ilvl w:val="1"/>
          <w:numId w:val="7"/>
        </w:numPr>
        <w:spacing w:after="0" w:line="240" w:lineRule="auto"/>
        <w:rPr>
          <w:rFonts w:ascii="Aptos" w:hAnsi="Aptos"/>
          <w:sz w:val="24"/>
          <w:szCs w:val="24"/>
        </w:rPr>
      </w:pPr>
      <w:r w:rsidRPr="00287C40">
        <w:rPr>
          <w:rFonts w:ascii="Aptos" w:hAnsi="Aptos"/>
          <w:sz w:val="24"/>
          <w:szCs w:val="24"/>
        </w:rPr>
        <w:t xml:space="preserve">an initial body mass index (BMI) of at least 35 kg/m2 *; and </w:t>
      </w:r>
    </w:p>
    <w:p w14:paraId="2773CC52" w14:textId="77777777" w:rsidR="008A74D4" w:rsidRPr="00287C40" w:rsidRDefault="008A74D4" w:rsidP="008A74D4">
      <w:pPr>
        <w:pStyle w:val="ListParagraph"/>
        <w:numPr>
          <w:ilvl w:val="1"/>
          <w:numId w:val="7"/>
        </w:numPr>
        <w:spacing w:after="0" w:line="240" w:lineRule="auto"/>
        <w:rPr>
          <w:rFonts w:ascii="Aptos" w:hAnsi="Aptos"/>
          <w:sz w:val="24"/>
          <w:szCs w:val="24"/>
        </w:rPr>
      </w:pPr>
      <w:r w:rsidRPr="00287C40">
        <w:rPr>
          <w:rFonts w:ascii="Aptos" w:hAnsi="Aptos"/>
          <w:sz w:val="24"/>
          <w:szCs w:val="24"/>
        </w:rPr>
        <w:t xml:space="preserve">at least 1 weight-related comorbidity. </w:t>
      </w:r>
    </w:p>
    <w:p w14:paraId="207221A9" w14:textId="77777777" w:rsidR="008A74D4" w:rsidRDefault="008A74D4" w:rsidP="008A74D4">
      <w:pPr>
        <w:spacing w:after="0" w:line="240" w:lineRule="auto"/>
        <w:rPr>
          <w:rFonts w:ascii="Aptos" w:hAnsi="Aptos"/>
          <w:sz w:val="24"/>
          <w:szCs w:val="24"/>
        </w:rPr>
      </w:pPr>
    </w:p>
    <w:p w14:paraId="558208E4" w14:textId="77777777" w:rsidR="008A74D4" w:rsidRPr="00287C40" w:rsidRDefault="008A74D4" w:rsidP="008A74D4">
      <w:pPr>
        <w:spacing w:after="0" w:line="240" w:lineRule="auto"/>
        <w:rPr>
          <w:rFonts w:ascii="Aptos" w:hAnsi="Aptos"/>
          <w:sz w:val="24"/>
          <w:szCs w:val="24"/>
        </w:rPr>
      </w:pPr>
      <w:r w:rsidRPr="00287C40">
        <w:rPr>
          <w:rFonts w:ascii="Aptos" w:hAnsi="Aptos"/>
          <w:sz w:val="24"/>
          <w:szCs w:val="24"/>
        </w:rPr>
        <w:t>*Use a lower BMI threshold (usually reduced by 2.5 kg/m</w:t>
      </w:r>
      <w:proofErr w:type="gramStart"/>
      <w:r w:rsidRPr="00287C40">
        <w:rPr>
          <w:rFonts w:ascii="Aptos" w:hAnsi="Aptos"/>
          <w:sz w:val="24"/>
          <w:szCs w:val="24"/>
        </w:rPr>
        <w:t>2 )</w:t>
      </w:r>
      <w:proofErr w:type="gramEnd"/>
      <w:r w:rsidRPr="00287C40">
        <w:rPr>
          <w:rFonts w:ascii="Aptos" w:hAnsi="Aptos"/>
          <w:sz w:val="24"/>
          <w:szCs w:val="24"/>
        </w:rPr>
        <w:t xml:space="preserve"> for people from South Asian, Chinese, other Asian, Middle Eastern, Black African or African-Caribbean ethnic</w:t>
      </w:r>
      <w:r>
        <w:rPr>
          <w:rFonts w:ascii="Aptos" w:hAnsi="Aptos"/>
          <w:sz w:val="24"/>
          <w:szCs w:val="24"/>
        </w:rPr>
        <w:t xml:space="preserve"> </w:t>
      </w:r>
      <w:r w:rsidRPr="00287C40">
        <w:rPr>
          <w:rFonts w:ascii="Aptos" w:hAnsi="Aptos"/>
          <w:sz w:val="24"/>
          <w:szCs w:val="24"/>
        </w:rPr>
        <w:t>backgrounds. Tirzepatide (Mounjaro®) is recommended by NICE for use in primary care settings and specialist weight management services.</w:t>
      </w:r>
    </w:p>
    <w:p w14:paraId="789BEB04" w14:textId="77777777" w:rsidR="008A74D4" w:rsidRDefault="008A74D4" w:rsidP="008A74D4">
      <w:pPr>
        <w:rPr>
          <w:sz w:val="24"/>
          <w:szCs w:val="24"/>
        </w:rPr>
      </w:pPr>
    </w:p>
    <w:p w14:paraId="1093F0A4" w14:textId="418F9534" w:rsidR="008A74D4" w:rsidRPr="008A74D4" w:rsidRDefault="008A74D4" w:rsidP="008A74D4">
      <w:pPr>
        <w:pStyle w:val="Heading3"/>
        <w:rPr>
          <w:sz w:val="32"/>
          <w:szCs w:val="32"/>
        </w:rPr>
      </w:pPr>
      <w:bookmarkStart w:id="10" w:name="_Toc201564312"/>
      <w:r w:rsidRPr="008A74D4">
        <w:rPr>
          <w:sz w:val="32"/>
          <w:szCs w:val="32"/>
        </w:rPr>
        <w:t xml:space="preserve">NHS Interim Commissioning Guidance </w:t>
      </w:r>
      <w:r>
        <w:rPr>
          <w:sz w:val="32"/>
          <w:szCs w:val="32"/>
        </w:rPr>
        <w:t>–</w:t>
      </w:r>
      <w:r w:rsidRPr="008A74D4">
        <w:rPr>
          <w:sz w:val="32"/>
          <w:szCs w:val="32"/>
        </w:rPr>
        <w:t xml:space="preserve"> Tirzepatide</w:t>
      </w:r>
      <w:r>
        <w:rPr>
          <w:sz w:val="32"/>
          <w:szCs w:val="32"/>
        </w:rPr>
        <w:t xml:space="preserve"> Only</w:t>
      </w:r>
      <w:bookmarkEnd w:id="10"/>
    </w:p>
    <w:p w14:paraId="0D2C4832" w14:textId="77777777" w:rsidR="008A74D4" w:rsidRDefault="008A74D4" w:rsidP="008A74D4">
      <w:pPr>
        <w:rPr>
          <w:rFonts w:ascii="Aptos" w:hAnsi="Aptos"/>
          <w:sz w:val="24"/>
          <w:szCs w:val="24"/>
        </w:rPr>
      </w:pPr>
      <w:r w:rsidRPr="00287C40">
        <w:rPr>
          <w:rFonts w:ascii="Aptos" w:hAnsi="Aptos"/>
          <w:sz w:val="24"/>
          <w:szCs w:val="24"/>
        </w:rPr>
        <w:t xml:space="preserve">Due to the significant demand, NHS England has put in place an interim commissioning guidance for the implementation of the NICE TA </w:t>
      </w:r>
      <w:r>
        <w:rPr>
          <w:rFonts w:ascii="Aptos" w:hAnsi="Aptos"/>
          <w:sz w:val="24"/>
          <w:szCs w:val="24"/>
        </w:rPr>
        <w:t xml:space="preserve">1026 – tirzepatide for managing overweight and obesity. </w:t>
      </w:r>
    </w:p>
    <w:p w14:paraId="23E80051" w14:textId="77777777" w:rsidR="008454E6" w:rsidRDefault="008A74D4" w:rsidP="008A74D4">
      <w:pPr>
        <w:rPr>
          <w:rFonts w:ascii="Aptos" w:hAnsi="Aptos"/>
          <w:sz w:val="24"/>
          <w:szCs w:val="24"/>
        </w:rPr>
      </w:pPr>
      <w:r>
        <w:rPr>
          <w:rFonts w:ascii="Aptos" w:hAnsi="Aptos"/>
          <w:sz w:val="24"/>
          <w:szCs w:val="24"/>
        </w:rPr>
        <w:t>The NHSE interim commissioning guidance i</w:t>
      </w:r>
      <w:r w:rsidR="008454E6">
        <w:rPr>
          <w:rFonts w:ascii="Aptos" w:hAnsi="Aptos"/>
          <w:sz w:val="24"/>
          <w:szCs w:val="24"/>
        </w:rPr>
        <w:t xml:space="preserve">s </w:t>
      </w:r>
      <w:hyperlink r:id="rId14" w:history="1">
        <w:r w:rsidR="008454E6" w:rsidRPr="008454E6">
          <w:rPr>
            <w:rStyle w:val="Hyperlink"/>
            <w:rFonts w:ascii="Aptos" w:hAnsi="Aptos"/>
            <w:sz w:val="24"/>
            <w:szCs w:val="24"/>
          </w:rPr>
          <w:t>here</w:t>
        </w:r>
      </w:hyperlink>
      <w:r w:rsidR="008454E6">
        <w:rPr>
          <w:rFonts w:ascii="Aptos" w:hAnsi="Aptos"/>
          <w:sz w:val="24"/>
          <w:szCs w:val="24"/>
        </w:rPr>
        <w:t>.</w:t>
      </w:r>
      <w:r w:rsidRPr="00287C40">
        <w:rPr>
          <w:rFonts w:ascii="Aptos" w:hAnsi="Aptos"/>
          <w:sz w:val="24"/>
          <w:szCs w:val="24"/>
        </w:rPr>
        <w:t xml:space="preserve"> </w:t>
      </w:r>
    </w:p>
    <w:p w14:paraId="4E808E7B" w14:textId="13078E3A" w:rsidR="008A74D4" w:rsidRPr="00287C40" w:rsidRDefault="008A74D4" w:rsidP="008A74D4">
      <w:pPr>
        <w:rPr>
          <w:rFonts w:ascii="Aptos" w:hAnsi="Aptos"/>
          <w:sz w:val="24"/>
          <w:szCs w:val="24"/>
        </w:rPr>
      </w:pPr>
      <w:r w:rsidRPr="00287C40">
        <w:rPr>
          <w:rFonts w:ascii="Aptos" w:hAnsi="Aptos"/>
          <w:sz w:val="24"/>
          <w:szCs w:val="24"/>
        </w:rPr>
        <w:t xml:space="preserve">In summary, Mounjaro® should NOT be prescribed on the NHS </w:t>
      </w:r>
      <w:r>
        <w:rPr>
          <w:rFonts w:ascii="Aptos" w:hAnsi="Aptos"/>
          <w:sz w:val="24"/>
          <w:szCs w:val="24"/>
        </w:rPr>
        <w:t xml:space="preserve">in primary care, </w:t>
      </w:r>
      <w:r w:rsidRPr="00287C40">
        <w:rPr>
          <w:rFonts w:ascii="Aptos" w:hAnsi="Aptos"/>
          <w:sz w:val="24"/>
          <w:szCs w:val="24"/>
        </w:rPr>
        <w:t>for overweight and obesity unless otherwise advised to do so.</w:t>
      </w:r>
    </w:p>
    <w:p w14:paraId="34E6D130" w14:textId="01060816" w:rsidR="008A74D4" w:rsidRDefault="008A74D4" w:rsidP="008A74D4">
      <w:pPr>
        <w:rPr>
          <w:sz w:val="24"/>
          <w:szCs w:val="24"/>
        </w:rPr>
      </w:pPr>
      <w:r w:rsidRPr="00F91308">
        <w:rPr>
          <w:sz w:val="24"/>
          <w:szCs w:val="24"/>
        </w:rPr>
        <w:t>It can only be prescribed on the NHS as part of a commissioned service AND if the patient meets the funding criteria</w:t>
      </w:r>
      <w:r>
        <w:rPr>
          <w:sz w:val="24"/>
          <w:szCs w:val="24"/>
        </w:rPr>
        <w:t xml:space="preserve">. </w:t>
      </w:r>
      <w:r w:rsidR="008454E6">
        <w:rPr>
          <w:sz w:val="24"/>
          <w:szCs w:val="24"/>
        </w:rPr>
        <w:t>The funding criteria is nationally set and more restrictive than the NICE TA criteria.</w:t>
      </w:r>
    </w:p>
    <w:p w14:paraId="21EA8021" w14:textId="6ACE264C" w:rsidR="008A74D4" w:rsidRPr="008454E6" w:rsidRDefault="008A74D4" w:rsidP="008A74D4">
      <w:pPr>
        <w:rPr>
          <w:sz w:val="24"/>
          <w:szCs w:val="24"/>
        </w:rPr>
      </w:pPr>
      <w:r>
        <w:rPr>
          <w:sz w:val="24"/>
          <w:szCs w:val="24"/>
        </w:rPr>
        <w:t>I</w:t>
      </w:r>
      <w:r w:rsidRPr="00F91308">
        <w:rPr>
          <w:sz w:val="24"/>
          <w:szCs w:val="24"/>
        </w:rPr>
        <w:t xml:space="preserve">n year 1 of the rollout, June 2025 onwards, </w:t>
      </w:r>
      <w:r>
        <w:rPr>
          <w:sz w:val="24"/>
          <w:szCs w:val="24"/>
        </w:rPr>
        <w:t xml:space="preserve">this is </w:t>
      </w:r>
      <w:r w:rsidRPr="00F91308">
        <w:rPr>
          <w:sz w:val="24"/>
          <w:szCs w:val="24"/>
        </w:rPr>
        <w:t>BMI ≥ 40</w:t>
      </w:r>
      <w:r>
        <w:rPr>
          <w:sz w:val="24"/>
          <w:szCs w:val="24"/>
        </w:rPr>
        <w:t>*</w:t>
      </w:r>
      <w:r w:rsidRPr="00F91308">
        <w:rPr>
          <w:sz w:val="24"/>
          <w:szCs w:val="24"/>
        </w:rPr>
        <w:t xml:space="preserve"> and ≥ 4 'qualifying' comorbidities</w:t>
      </w:r>
      <w:r>
        <w:rPr>
          <w:sz w:val="24"/>
          <w:szCs w:val="24"/>
        </w:rPr>
        <w:t>.</w:t>
      </w:r>
      <w:r w:rsidR="008454E6">
        <w:rPr>
          <w:sz w:val="24"/>
          <w:szCs w:val="24"/>
        </w:rPr>
        <w:t xml:space="preserve"> </w:t>
      </w:r>
      <w:r>
        <w:rPr>
          <w:sz w:val="24"/>
          <w:szCs w:val="24"/>
        </w:rPr>
        <w:t xml:space="preserve">The qualifying co-morbidities </w:t>
      </w:r>
      <w:proofErr w:type="gramStart"/>
      <w:r>
        <w:rPr>
          <w:sz w:val="24"/>
          <w:szCs w:val="24"/>
        </w:rPr>
        <w:t>are:</w:t>
      </w:r>
      <w:proofErr w:type="gramEnd"/>
      <w:r>
        <w:rPr>
          <w:sz w:val="24"/>
          <w:szCs w:val="24"/>
        </w:rPr>
        <w:t xml:space="preserve"> </w:t>
      </w:r>
      <w:r w:rsidRPr="00B37420">
        <w:rPr>
          <w:rFonts w:ascii="Arial" w:hAnsi="Arial" w:cs="Arial"/>
        </w:rPr>
        <w:t xml:space="preserve">hypertension, dyslipidaemia, obstructive sleep apnoea, cardiovascular disease, type 2 diabetes. </w:t>
      </w:r>
    </w:p>
    <w:p w14:paraId="3C42246A" w14:textId="77777777" w:rsidR="008A74D4" w:rsidRPr="00F91308" w:rsidRDefault="008A74D4" w:rsidP="008A74D4">
      <w:pPr>
        <w:rPr>
          <w:sz w:val="24"/>
          <w:szCs w:val="24"/>
        </w:rPr>
      </w:pPr>
      <w:r>
        <w:rPr>
          <w:sz w:val="24"/>
          <w:szCs w:val="24"/>
        </w:rPr>
        <w:t>*</w:t>
      </w:r>
      <w:r w:rsidRPr="00B37420">
        <w:rPr>
          <w:sz w:val="24"/>
          <w:szCs w:val="24"/>
        </w:rPr>
        <w:t>Use lower BMI thresholds (usually reduced by 2.5 kg/m</w:t>
      </w:r>
      <w:r w:rsidRPr="00B37420">
        <w:rPr>
          <w:sz w:val="24"/>
          <w:szCs w:val="24"/>
          <w:vertAlign w:val="superscript"/>
        </w:rPr>
        <w:t>2</w:t>
      </w:r>
      <w:r w:rsidRPr="00B37420">
        <w:rPr>
          <w:sz w:val="24"/>
          <w:szCs w:val="24"/>
        </w:rPr>
        <w:t>) for people from South Asian, Chinese, other Asian, Middle Eastern, Black African or African-Caribbean family backgrounds.</w:t>
      </w:r>
    </w:p>
    <w:p w14:paraId="64181227" w14:textId="77777777" w:rsidR="008A74D4" w:rsidRDefault="008A74D4" w:rsidP="00EB193E"/>
    <w:p w14:paraId="1254A0C7" w14:textId="77777777" w:rsidR="0071478A" w:rsidRPr="008A74D4" w:rsidRDefault="0071478A" w:rsidP="008A74D4">
      <w:pPr>
        <w:pStyle w:val="Heading3"/>
        <w:rPr>
          <w:sz w:val="32"/>
          <w:szCs w:val="32"/>
        </w:rPr>
      </w:pPr>
      <w:bookmarkStart w:id="11" w:name="_Toc201564313"/>
      <w:r w:rsidRPr="008A74D4">
        <w:rPr>
          <w:sz w:val="32"/>
          <w:szCs w:val="32"/>
        </w:rPr>
        <w:t>Licensed Indications</w:t>
      </w:r>
      <w:bookmarkEnd w:id="11"/>
      <w:r w:rsidRPr="008A74D4">
        <w:rPr>
          <w:sz w:val="32"/>
          <w:szCs w:val="32"/>
        </w:rPr>
        <w:t xml:space="preserve"> </w:t>
      </w:r>
    </w:p>
    <w:p w14:paraId="1345C7DC" w14:textId="4F08F753" w:rsidR="0071478A" w:rsidRDefault="0071478A" w:rsidP="0071478A">
      <w:pPr>
        <w:rPr>
          <w:rFonts w:ascii="Aptos" w:hAnsi="Aptos"/>
          <w:sz w:val="24"/>
          <w:szCs w:val="24"/>
        </w:rPr>
      </w:pPr>
      <w:r>
        <w:rPr>
          <w:rFonts w:ascii="Aptos" w:hAnsi="Aptos"/>
          <w:sz w:val="24"/>
          <w:szCs w:val="24"/>
        </w:rPr>
        <w:t xml:space="preserve">In the UK, the licensing of medicines is approved by the MHRA. </w:t>
      </w:r>
      <w:r w:rsidRPr="0071478A">
        <w:rPr>
          <w:rFonts w:ascii="Aptos" w:hAnsi="Aptos"/>
          <w:sz w:val="24"/>
          <w:szCs w:val="24"/>
        </w:rPr>
        <w:t>The MHRA, or </w:t>
      </w:r>
      <w:hyperlink r:id="rId15" w:tgtFrame="_blank" w:history="1">
        <w:r w:rsidRPr="0071478A">
          <w:rPr>
            <w:rStyle w:val="Hyperlink"/>
            <w:rFonts w:ascii="Aptos" w:hAnsi="Aptos"/>
            <w:sz w:val="24"/>
            <w:szCs w:val="24"/>
          </w:rPr>
          <w:t>Medicines and Healthcare products Regulatory Agency</w:t>
        </w:r>
      </w:hyperlink>
      <w:r w:rsidRPr="0071478A">
        <w:rPr>
          <w:rFonts w:ascii="Aptos" w:hAnsi="Aptos"/>
          <w:sz w:val="24"/>
          <w:szCs w:val="24"/>
        </w:rPr>
        <w:t xml:space="preserve">, licenses medicines in the UK by assessing their quality, safety, and efficacy for their intended use. This assessment results in </w:t>
      </w:r>
      <w:r w:rsidRPr="0071478A">
        <w:rPr>
          <w:rFonts w:ascii="Aptos" w:hAnsi="Aptos"/>
          <w:sz w:val="24"/>
          <w:szCs w:val="24"/>
        </w:rPr>
        <w:lastRenderedPageBreak/>
        <w:t>a </w:t>
      </w:r>
      <w:hyperlink r:id="rId16" w:tgtFrame="_blank" w:history="1">
        <w:r w:rsidRPr="0071478A">
          <w:rPr>
            <w:rStyle w:val="Hyperlink"/>
            <w:rFonts w:ascii="Aptos" w:hAnsi="Aptos"/>
            <w:sz w:val="24"/>
            <w:szCs w:val="24"/>
          </w:rPr>
          <w:t>Marketing Authorisation (MA)</w:t>
        </w:r>
      </w:hyperlink>
      <w:r w:rsidRPr="0071478A">
        <w:rPr>
          <w:rFonts w:ascii="Aptos" w:hAnsi="Aptos"/>
          <w:sz w:val="24"/>
          <w:szCs w:val="24"/>
        </w:rPr>
        <w:t>, allowing the medicine to be legally placed on the UK market. </w:t>
      </w:r>
    </w:p>
    <w:p w14:paraId="55E8A4E0" w14:textId="6490E796" w:rsidR="00EB193E" w:rsidRDefault="0071478A" w:rsidP="0071478A">
      <w:pPr>
        <w:rPr>
          <w:rFonts w:ascii="Aptos" w:hAnsi="Aptos"/>
          <w:sz w:val="24"/>
          <w:szCs w:val="24"/>
        </w:rPr>
      </w:pPr>
      <w:r>
        <w:rPr>
          <w:rFonts w:ascii="Aptos" w:hAnsi="Aptos"/>
          <w:sz w:val="24"/>
          <w:szCs w:val="24"/>
        </w:rPr>
        <w:t>The licensed indication for any medicine can be found</w:t>
      </w:r>
      <w:r w:rsidR="00EB193E">
        <w:rPr>
          <w:rFonts w:ascii="Aptos" w:hAnsi="Aptos"/>
          <w:sz w:val="24"/>
          <w:szCs w:val="24"/>
        </w:rPr>
        <w:t xml:space="preserve"> in the </w:t>
      </w:r>
      <w:r w:rsidR="00EB193E" w:rsidRPr="00EB193E">
        <w:rPr>
          <w:rFonts w:ascii="Aptos" w:hAnsi="Aptos"/>
          <w:sz w:val="24"/>
          <w:szCs w:val="24"/>
        </w:rPr>
        <w:t>summary of product characteristics (SPC)</w:t>
      </w:r>
      <w:r w:rsidR="00EB193E">
        <w:rPr>
          <w:rFonts w:ascii="Aptos" w:hAnsi="Aptos"/>
          <w:sz w:val="24"/>
          <w:szCs w:val="24"/>
        </w:rPr>
        <w:t xml:space="preserve">, which </w:t>
      </w:r>
      <w:r w:rsidR="00EB193E" w:rsidRPr="00EB193E">
        <w:rPr>
          <w:rFonts w:ascii="Aptos" w:hAnsi="Aptos"/>
          <w:sz w:val="24"/>
          <w:szCs w:val="24"/>
        </w:rPr>
        <w:t xml:space="preserve">is a description of a medicinal product’s </w:t>
      </w:r>
      <w:r w:rsidR="001302E3" w:rsidRPr="00EB193E">
        <w:rPr>
          <w:rFonts w:ascii="Aptos" w:hAnsi="Aptos"/>
          <w:sz w:val="24"/>
          <w:szCs w:val="24"/>
        </w:rPr>
        <w:t>properties,</w:t>
      </w:r>
      <w:r w:rsidR="00EB193E" w:rsidRPr="00EB193E">
        <w:rPr>
          <w:rFonts w:ascii="Aptos" w:hAnsi="Aptos"/>
          <w:sz w:val="24"/>
          <w:szCs w:val="24"/>
        </w:rPr>
        <w:t xml:space="preserve"> and the conditions attached to its use. </w:t>
      </w:r>
      <w:r w:rsidR="00EB193E">
        <w:rPr>
          <w:rFonts w:ascii="Aptos" w:hAnsi="Aptos"/>
          <w:sz w:val="24"/>
          <w:szCs w:val="24"/>
        </w:rPr>
        <w:t xml:space="preserve">SPCs can be found here in the </w:t>
      </w:r>
      <w:hyperlink r:id="rId17" w:anchor="gref" w:history="1">
        <w:r w:rsidR="00EB193E" w:rsidRPr="00EB193E">
          <w:rPr>
            <w:rStyle w:val="Hyperlink"/>
            <w:rFonts w:ascii="Aptos" w:hAnsi="Aptos"/>
            <w:sz w:val="24"/>
            <w:szCs w:val="24"/>
          </w:rPr>
          <w:t>electronic medicines compendium (</w:t>
        </w:r>
        <w:proofErr w:type="spellStart"/>
        <w:r w:rsidR="00EB193E" w:rsidRPr="00EB193E">
          <w:rPr>
            <w:rStyle w:val="Hyperlink"/>
            <w:rFonts w:ascii="Aptos" w:hAnsi="Aptos"/>
            <w:sz w:val="24"/>
            <w:szCs w:val="24"/>
          </w:rPr>
          <w:t>emc</w:t>
        </w:r>
        <w:proofErr w:type="spellEnd"/>
        <w:r w:rsidR="00EB193E" w:rsidRPr="00EB193E">
          <w:rPr>
            <w:rStyle w:val="Hyperlink"/>
            <w:rFonts w:ascii="Aptos" w:hAnsi="Aptos"/>
            <w:sz w:val="24"/>
            <w:szCs w:val="24"/>
          </w:rPr>
          <w:t>)</w:t>
        </w:r>
      </w:hyperlink>
      <w:r w:rsidR="00EB193E">
        <w:rPr>
          <w:rFonts w:ascii="Aptos" w:hAnsi="Aptos"/>
          <w:sz w:val="24"/>
          <w:szCs w:val="24"/>
        </w:rPr>
        <w:t xml:space="preserve"> or via the </w:t>
      </w:r>
      <w:hyperlink r:id="rId18" w:history="1">
        <w:r w:rsidR="00EB193E" w:rsidRPr="00EB193E">
          <w:rPr>
            <w:rStyle w:val="Hyperlink"/>
            <w:rFonts w:ascii="Aptos" w:hAnsi="Aptos"/>
            <w:sz w:val="24"/>
            <w:szCs w:val="24"/>
          </w:rPr>
          <w:t>MHRA</w:t>
        </w:r>
      </w:hyperlink>
      <w:r w:rsidR="00EB193E">
        <w:rPr>
          <w:rFonts w:ascii="Aptos" w:hAnsi="Aptos"/>
          <w:sz w:val="24"/>
          <w:szCs w:val="24"/>
        </w:rPr>
        <w:t>.</w:t>
      </w:r>
    </w:p>
    <w:p w14:paraId="53A8A3F8" w14:textId="01230D95" w:rsidR="0071478A" w:rsidRPr="00287C40" w:rsidRDefault="00EB193E" w:rsidP="0071478A">
      <w:pPr>
        <w:rPr>
          <w:rFonts w:ascii="Aptos" w:hAnsi="Aptos"/>
          <w:sz w:val="24"/>
          <w:szCs w:val="24"/>
        </w:rPr>
      </w:pPr>
      <w:r>
        <w:rPr>
          <w:rFonts w:ascii="Aptos" w:hAnsi="Aptos"/>
          <w:sz w:val="24"/>
          <w:szCs w:val="24"/>
        </w:rPr>
        <w:t>For GLP1-s, it should be noted that t</w:t>
      </w:r>
      <w:r w:rsidR="0071478A">
        <w:rPr>
          <w:rFonts w:ascii="Aptos" w:hAnsi="Aptos"/>
          <w:sz w:val="24"/>
          <w:szCs w:val="24"/>
        </w:rPr>
        <w:t xml:space="preserve">he licensed indications are different to the NICE TA and NHSE interim commissioning guidance criteria. </w:t>
      </w:r>
    </w:p>
    <w:p w14:paraId="07A74B59" w14:textId="77777777" w:rsidR="0071478A" w:rsidRPr="00287C40" w:rsidRDefault="0071478A" w:rsidP="0071478A">
      <w:pPr>
        <w:rPr>
          <w:rFonts w:ascii="Aptos" w:hAnsi="Aptos"/>
          <w:sz w:val="24"/>
          <w:szCs w:val="24"/>
        </w:rPr>
      </w:pPr>
      <w:r w:rsidRPr="00287C40">
        <w:rPr>
          <w:rFonts w:ascii="Aptos" w:hAnsi="Aptos"/>
          <w:sz w:val="24"/>
          <w:szCs w:val="24"/>
        </w:rPr>
        <w:t xml:space="preserve">Both </w:t>
      </w:r>
      <w:proofErr w:type="spellStart"/>
      <w:r w:rsidRPr="00287C40">
        <w:rPr>
          <w:rFonts w:ascii="Aptos" w:hAnsi="Aptos"/>
          <w:sz w:val="24"/>
          <w:szCs w:val="24"/>
        </w:rPr>
        <w:t>Wegovy</w:t>
      </w:r>
      <w:proofErr w:type="spellEnd"/>
      <w:r w:rsidRPr="00287C40">
        <w:rPr>
          <w:rFonts w:ascii="Aptos" w:hAnsi="Aptos"/>
          <w:sz w:val="24"/>
          <w:szCs w:val="24"/>
        </w:rPr>
        <w:t xml:space="preserve"> and Mounjaro are licensed as an adjunct to a reduced-calorie diet and increased physical activity for weight management, including weight loss and weight maintenance, in adults with an initial Body Mass Index (BMI) of</w:t>
      </w:r>
    </w:p>
    <w:p w14:paraId="3802382D" w14:textId="77777777" w:rsidR="0071478A" w:rsidRPr="00287C40" w:rsidRDefault="0071478A" w:rsidP="0071478A">
      <w:pPr>
        <w:rPr>
          <w:rFonts w:ascii="Aptos" w:hAnsi="Aptos"/>
          <w:sz w:val="24"/>
          <w:szCs w:val="24"/>
        </w:rPr>
      </w:pPr>
      <w:r w:rsidRPr="00287C40">
        <w:rPr>
          <w:rFonts w:ascii="Aptos" w:hAnsi="Aptos"/>
          <w:sz w:val="24"/>
          <w:szCs w:val="24"/>
        </w:rPr>
        <w:t>• ≥30 kg/m</w:t>
      </w:r>
      <w:r w:rsidRPr="00287C40">
        <w:rPr>
          <w:rFonts w:ascii="Aptos" w:hAnsi="Aptos"/>
          <w:sz w:val="24"/>
          <w:szCs w:val="24"/>
          <w:vertAlign w:val="superscript"/>
        </w:rPr>
        <w:t>2</w:t>
      </w:r>
      <w:r w:rsidRPr="00287C40">
        <w:rPr>
          <w:rFonts w:ascii="Aptos" w:hAnsi="Aptos"/>
          <w:sz w:val="24"/>
          <w:szCs w:val="24"/>
        </w:rPr>
        <w:t> (obesity), or</w:t>
      </w:r>
    </w:p>
    <w:p w14:paraId="4831DB95" w14:textId="77777777" w:rsidR="0071478A" w:rsidRPr="00287C40" w:rsidRDefault="0071478A" w:rsidP="0071478A">
      <w:pPr>
        <w:rPr>
          <w:rFonts w:ascii="Aptos" w:hAnsi="Aptos"/>
          <w:sz w:val="24"/>
          <w:szCs w:val="24"/>
        </w:rPr>
      </w:pPr>
      <w:r w:rsidRPr="00287C40">
        <w:rPr>
          <w:rFonts w:ascii="Aptos" w:hAnsi="Aptos"/>
          <w:sz w:val="24"/>
          <w:szCs w:val="24"/>
        </w:rPr>
        <w:t>• ≥27 kg/m</w:t>
      </w:r>
      <w:r w:rsidRPr="00287C40">
        <w:rPr>
          <w:rFonts w:ascii="Aptos" w:hAnsi="Aptos"/>
          <w:sz w:val="24"/>
          <w:szCs w:val="24"/>
          <w:vertAlign w:val="superscript"/>
        </w:rPr>
        <w:t>2</w:t>
      </w:r>
      <w:r w:rsidRPr="00287C40">
        <w:rPr>
          <w:rFonts w:ascii="Aptos" w:hAnsi="Aptos"/>
          <w:sz w:val="24"/>
          <w:szCs w:val="24"/>
        </w:rPr>
        <w:t> to &lt;30 kg/m</w:t>
      </w:r>
      <w:r w:rsidRPr="00287C40">
        <w:rPr>
          <w:rFonts w:ascii="Aptos" w:hAnsi="Aptos"/>
          <w:sz w:val="24"/>
          <w:szCs w:val="24"/>
          <w:vertAlign w:val="superscript"/>
        </w:rPr>
        <w:t>2</w:t>
      </w:r>
      <w:r w:rsidRPr="00287C40">
        <w:rPr>
          <w:rFonts w:ascii="Aptos" w:hAnsi="Aptos"/>
          <w:sz w:val="24"/>
          <w:szCs w:val="24"/>
        </w:rPr>
        <w:t> (overweight) in the presence of at least one weight-related comorbidity.</w:t>
      </w:r>
    </w:p>
    <w:p w14:paraId="3BC1B6AD" w14:textId="77777777" w:rsidR="0071478A" w:rsidRPr="00287C40" w:rsidRDefault="0071478A" w:rsidP="0071478A">
      <w:pPr>
        <w:rPr>
          <w:rFonts w:ascii="Aptos" w:hAnsi="Aptos"/>
          <w:sz w:val="24"/>
          <w:szCs w:val="24"/>
        </w:rPr>
      </w:pPr>
      <w:hyperlink r:id="rId19" w:history="1">
        <w:r w:rsidRPr="00287C40">
          <w:rPr>
            <w:rStyle w:val="Hyperlink"/>
            <w:rFonts w:ascii="Aptos" w:hAnsi="Aptos"/>
            <w:sz w:val="24"/>
            <w:szCs w:val="24"/>
          </w:rPr>
          <w:t>https://www.medicines.org.uk/emc/search?q=wegovy</w:t>
        </w:r>
      </w:hyperlink>
    </w:p>
    <w:p w14:paraId="1189D2A2" w14:textId="77777777" w:rsidR="0071478A" w:rsidRPr="00287C40" w:rsidRDefault="0071478A" w:rsidP="0071478A">
      <w:pPr>
        <w:rPr>
          <w:rFonts w:ascii="Aptos" w:hAnsi="Aptos"/>
          <w:sz w:val="24"/>
          <w:szCs w:val="24"/>
        </w:rPr>
      </w:pPr>
      <w:hyperlink r:id="rId20" w:history="1">
        <w:r w:rsidRPr="00287C40">
          <w:rPr>
            <w:rStyle w:val="Hyperlink"/>
            <w:rFonts w:ascii="Aptos" w:hAnsi="Aptos"/>
            <w:sz w:val="24"/>
            <w:szCs w:val="24"/>
          </w:rPr>
          <w:t>https://www.medicines.org.uk/emc/search?q=mounjaro</w:t>
        </w:r>
      </w:hyperlink>
    </w:p>
    <w:p w14:paraId="5566791F" w14:textId="25419E2A" w:rsidR="00EB193E" w:rsidRPr="00104206" w:rsidRDefault="0071478A" w:rsidP="00104206">
      <w:pPr>
        <w:rPr>
          <w:rFonts w:ascii="Aptos" w:hAnsi="Aptos"/>
          <w:sz w:val="24"/>
          <w:szCs w:val="24"/>
        </w:rPr>
      </w:pPr>
      <w:r w:rsidRPr="00287C40">
        <w:rPr>
          <w:rFonts w:ascii="Aptos" w:hAnsi="Aptos"/>
          <w:sz w:val="24"/>
          <w:szCs w:val="24"/>
        </w:rPr>
        <w:t>(Mounjaro is also licensed for type-2 diabetes).</w:t>
      </w:r>
    </w:p>
    <w:p w14:paraId="65DA0873" w14:textId="7B8FC431" w:rsidR="00F91308" w:rsidRPr="00287C40" w:rsidRDefault="00C00647" w:rsidP="00287C40">
      <w:pPr>
        <w:jc w:val="both"/>
        <w:rPr>
          <w:sz w:val="24"/>
          <w:szCs w:val="24"/>
        </w:rPr>
      </w:pPr>
      <w:r w:rsidRPr="00287C40">
        <w:rPr>
          <w:sz w:val="24"/>
          <w:szCs w:val="24"/>
        </w:rPr>
        <w:t xml:space="preserve">There are several products licensed for weight loss, but the </w:t>
      </w:r>
      <w:proofErr w:type="gramStart"/>
      <w:r w:rsidRPr="00287C40">
        <w:rPr>
          <w:sz w:val="24"/>
          <w:szCs w:val="24"/>
        </w:rPr>
        <w:t>main focus</w:t>
      </w:r>
      <w:proofErr w:type="gramEnd"/>
      <w:r w:rsidRPr="00287C40">
        <w:rPr>
          <w:sz w:val="24"/>
          <w:szCs w:val="24"/>
        </w:rPr>
        <w:t xml:space="preserve"> of demand relates to </w:t>
      </w:r>
      <w:proofErr w:type="spellStart"/>
      <w:r w:rsidRPr="00287C40">
        <w:rPr>
          <w:sz w:val="24"/>
          <w:szCs w:val="24"/>
        </w:rPr>
        <w:t>Wegovy</w:t>
      </w:r>
      <w:proofErr w:type="spellEnd"/>
      <w:r w:rsidRPr="00287C40">
        <w:rPr>
          <w:sz w:val="24"/>
          <w:szCs w:val="24"/>
        </w:rPr>
        <w:t xml:space="preserve">® (semaglutide) and Mounjaro® (tirzepatide). </w:t>
      </w:r>
    </w:p>
    <w:p w14:paraId="10AA5F32" w14:textId="623F661C" w:rsidR="00F91308" w:rsidRPr="00287C40" w:rsidRDefault="00F91308" w:rsidP="00287C40">
      <w:pPr>
        <w:rPr>
          <w:sz w:val="24"/>
          <w:szCs w:val="24"/>
        </w:rPr>
      </w:pPr>
      <w:r w:rsidRPr="00287C40">
        <w:rPr>
          <w:sz w:val="24"/>
          <w:szCs w:val="24"/>
        </w:rPr>
        <w:t>The</w:t>
      </w:r>
      <w:r w:rsidR="00287C40">
        <w:rPr>
          <w:sz w:val="24"/>
          <w:szCs w:val="24"/>
        </w:rPr>
        <w:t xml:space="preserve"> </w:t>
      </w:r>
      <w:r w:rsidRPr="00287C40">
        <w:rPr>
          <w:sz w:val="24"/>
          <w:szCs w:val="24"/>
        </w:rPr>
        <w:t>only GLP-1 receptor agonists licensed for weight management are </w:t>
      </w:r>
      <w:hyperlink r:id="rId21" w:tooltip="liraglutide" w:history="1">
        <w:r w:rsidRPr="00287C40">
          <w:rPr>
            <w:rStyle w:val="Hyperlink"/>
            <w:sz w:val="24"/>
            <w:szCs w:val="24"/>
          </w:rPr>
          <w:t>liraglutide</w:t>
        </w:r>
      </w:hyperlink>
      <w:r w:rsidRPr="00287C40">
        <w:rPr>
          <w:sz w:val="24"/>
          <w:szCs w:val="24"/>
        </w:rPr>
        <w:t> (</w:t>
      </w:r>
      <w:r w:rsidRPr="00287C40">
        <w:rPr>
          <w:i/>
          <w:iCs/>
          <w:sz w:val="24"/>
          <w:szCs w:val="24"/>
        </w:rPr>
        <w:t>Saxenda</w:t>
      </w:r>
      <w:r w:rsidRPr="00287C40">
        <w:rPr>
          <w:sz w:val="24"/>
          <w:szCs w:val="24"/>
        </w:rPr>
        <w:t>®), </w:t>
      </w:r>
      <w:hyperlink r:id="rId22" w:tooltip="semaglutide" w:history="1">
        <w:r w:rsidRPr="00287C40">
          <w:rPr>
            <w:rStyle w:val="Hyperlink"/>
            <w:sz w:val="24"/>
            <w:szCs w:val="24"/>
          </w:rPr>
          <w:t>semaglutide</w:t>
        </w:r>
      </w:hyperlink>
      <w:r w:rsidRPr="00287C40">
        <w:rPr>
          <w:sz w:val="24"/>
          <w:szCs w:val="24"/>
        </w:rPr>
        <w:t> (</w:t>
      </w:r>
      <w:proofErr w:type="spellStart"/>
      <w:r w:rsidRPr="00287C40">
        <w:rPr>
          <w:i/>
          <w:iCs/>
          <w:sz w:val="24"/>
          <w:szCs w:val="24"/>
        </w:rPr>
        <w:t>Wegovy</w:t>
      </w:r>
      <w:proofErr w:type="spellEnd"/>
      <w:r w:rsidRPr="00287C40">
        <w:rPr>
          <w:sz w:val="24"/>
          <w:szCs w:val="24"/>
        </w:rPr>
        <w:t>®), and </w:t>
      </w:r>
      <w:hyperlink r:id="rId23" w:tooltip="tirzepatide" w:history="1">
        <w:r w:rsidRPr="00287C40">
          <w:rPr>
            <w:rStyle w:val="Hyperlink"/>
            <w:sz w:val="24"/>
            <w:szCs w:val="24"/>
          </w:rPr>
          <w:t>tirzepatide</w:t>
        </w:r>
      </w:hyperlink>
      <w:r w:rsidRPr="00287C40">
        <w:rPr>
          <w:sz w:val="24"/>
          <w:szCs w:val="24"/>
        </w:rPr>
        <w:t> (</w:t>
      </w:r>
      <w:r w:rsidRPr="00287C40">
        <w:rPr>
          <w:i/>
          <w:iCs/>
          <w:sz w:val="24"/>
          <w:szCs w:val="24"/>
        </w:rPr>
        <w:t>Mounjaro</w:t>
      </w:r>
      <w:r w:rsidRPr="00287C40">
        <w:rPr>
          <w:sz w:val="24"/>
          <w:szCs w:val="24"/>
        </w:rPr>
        <w:t xml:space="preserve">®), which is also a glucose-dependent insulinotropic polypeptide (GIP) receptor agonist. </w:t>
      </w:r>
    </w:p>
    <w:p w14:paraId="29528288" w14:textId="23390123" w:rsidR="00F91308" w:rsidRPr="00287C40" w:rsidRDefault="00F91308" w:rsidP="00287C40">
      <w:pPr>
        <w:jc w:val="both"/>
        <w:rPr>
          <w:sz w:val="24"/>
          <w:szCs w:val="24"/>
        </w:rPr>
      </w:pPr>
      <w:r w:rsidRPr="00287C40">
        <w:rPr>
          <w:sz w:val="24"/>
          <w:szCs w:val="24"/>
        </w:rPr>
        <w:t xml:space="preserve">Semaglutide </w:t>
      </w:r>
      <w:r w:rsidR="001C47BE" w:rsidRPr="00287C40">
        <w:rPr>
          <w:sz w:val="24"/>
          <w:szCs w:val="24"/>
        </w:rPr>
        <w:t xml:space="preserve">branded </w:t>
      </w:r>
      <w:r w:rsidRPr="00287C40">
        <w:rPr>
          <w:sz w:val="24"/>
          <w:szCs w:val="24"/>
        </w:rPr>
        <w:t xml:space="preserve">as Ozempic® </w:t>
      </w:r>
      <w:r w:rsidR="001C47BE" w:rsidRPr="00287C40">
        <w:rPr>
          <w:sz w:val="24"/>
          <w:szCs w:val="24"/>
        </w:rPr>
        <w:t>or Rybelsus®</w:t>
      </w:r>
      <w:r w:rsidR="00AB6FFD" w:rsidRPr="00287C40">
        <w:rPr>
          <w:sz w:val="24"/>
          <w:szCs w:val="24"/>
        </w:rPr>
        <w:t>,</w:t>
      </w:r>
      <w:r w:rsidR="001C47BE" w:rsidRPr="00287C40">
        <w:rPr>
          <w:sz w:val="24"/>
          <w:szCs w:val="24"/>
        </w:rPr>
        <w:t xml:space="preserve"> are</w:t>
      </w:r>
      <w:r w:rsidRPr="00287C40">
        <w:rPr>
          <w:sz w:val="24"/>
          <w:szCs w:val="24"/>
        </w:rPr>
        <w:t xml:space="preserve"> not licensed for weight loss; </w:t>
      </w:r>
      <w:r w:rsidR="001C47BE" w:rsidRPr="00287C40">
        <w:rPr>
          <w:sz w:val="24"/>
          <w:szCs w:val="24"/>
        </w:rPr>
        <w:t xml:space="preserve">they are </w:t>
      </w:r>
      <w:r w:rsidRPr="00287C40">
        <w:rPr>
          <w:sz w:val="24"/>
          <w:szCs w:val="24"/>
        </w:rPr>
        <w:t>only licensed for type-2 diabetes.</w:t>
      </w:r>
    </w:p>
    <w:p w14:paraId="034EBFDF" w14:textId="6E19C4DB" w:rsidR="00AB6FFD" w:rsidRDefault="00C00647" w:rsidP="00287C40">
      <w:pPr>
        <w:jc w:val="both"/>
        <w:rPr>
          <w:sz w:val="24"/>
          <w:szCs w:val="24"/>
        </w:rPr>
      </w:pPr>
      <w:r w:rsidRPr="00287C40">
        <w:rPr>
          <w:sz w:val="24"/>
          <w:szCs w:val="24"/>
        </w:rPr>
        <w:t>Both Wegovy and Mounjaro have licensed indications AND separate NHS commissioning policies (NICE Technology Appraisals</w:t>
      </w:r>
      <w:r w:rsidR="00E5239D" w:rsidRPr="00287C40">
        <w:rPr>
          <w:sz w:val="24"/>
          <w:szCs w:val="24"/>
        </w:rPr>
        <w:t xml:space="preserve"> and interim NHS Commissioning Guidance</w:t>
      </w:r>
      <w:r w:rsidRPr="00287C40">
        <w:rPr>
          <w:sz w:val="24"/>
          <w:szCs w:val="24"/>
        </w:rPr>
        <w:t>) related to them</w:t>
      </w:r>
      <w:r w:rsidR="00B42630" w:rsidRPr="00287C40">
        <w:rPr>
          <w:sz w:val="24"/>
          <w:szCs w:val="24"/>
        </w:rPr>
        <w:t>;</w:t>
      </w:r>
      <w:r w:rsidRPr="00287C40">
        <w:rPr>
          <w:sz w:val="24"/>
          <w:szCs w:val="24"/>
        </w:rPr>
        <w:t xml:space="preserve"> these are not the same</w:t>
      </w:r>
      <w:r w:rsidR="00E5239D" w:rsidRPr="00287C40">
        <w:rPr>
          <w:sz w:val="24"/>
          <w:szCs w:val="24"/>
        </w:rPr>
        <w:t xml:space="preserve">. </w:t>
      </w:r>
      <w:r w:rsidRPr="00287C40">
        <w:rPr>
          <w:sz w:val="24"/>
          <w:szCs w:val="24"/>
        </w:rPr>
        <w:t>NHS clinicians should be aware of the differences and ensure they adhere to the NHS commissioning polic</w:t>
      </w:r>
      <w:r w:rsidR="00E5239D" w:rsidRPr="00287C40">
        <w:rPr>
          <w:sz w:val="24"/>
          <w:szCs w:val="24"/>
        </w:rPr>
        <w:t>ies</w:t>
      </w:r>
      <w:r w:rsidRPr="00287C40">
        <w:rPr>
          <w:sz w:val="24"/>
          <w:szCs w:val="24"/>
        </w:rPr>
        <w:t xml:space="preserve"> if prescribing on the NHS.</w:t>
      </w:r>
    </w:p>
    <w:p w14:paraId="7892B684" w14:textId="0B90106B" w:rsidR="008454E6" w:rsidRPr="00287C40" w:rsidRDefault="008454E6" w:rsidP="00287C40">
      <w:pPr>
        <w:jc w:val="both"/>
        <w:rPr>
          <w:sz w:val="24"/>
          <w:szCs w:val="24"/>
        </w:rPr>
      </w:pPr>
      <w:r>
        <w:rPr>
          <w:sz w:val="24"/>
          <w:szCs w:val="24"/>
        </w:rPr>
        <w:t>---------------------------------</w:t>
      </w:r>
    </w:p>
    <w:p w14:paraId="50225053" w14:textId="635C63BD" w:rsidR="00043D22" w:rsidRPr="008A74D4" w:rsidRDefault="00043D22" w:rsidP="008A74D4">
      <w:pPr>
        <w:pStyle w:val="Heading2"/>
      </w:pPr>
      <w:bookmarkStart w:id="12" w:name="_Toc201564314"/>
      <w:r w:rsidRPr="008A74D4">
        <w:t>Private Providers</w:t>
      </w:r>
      <w:bookmarkEnd w:id="12"/>
    </w:p>
    <w:p w14:paraId="62C8199D" w14:textId="77777777" w:rsidR="0071478A" w:rsidRPr="00287C40" w:rsidRDefault="0071478A" w:rsidP="0071478A">
      <w:pPr>
        <w:jc w:val="both"/>
        <w:rPr>
          <w:sz w:val="24"/>
          <w:szCs w:val="24"/>
        </w:rPr>
      </w:pPr>
      <w:r w:rsidRPr="00287C40">
        <w:rPr>
          <w:sz w:val="24"/>
          <w:szCs w:val="24"/>
        </w:rPr>
        <w:t xml:space="preserve">The quality and safety of private providers of weight loss medicines has been raised in a recent (April 2025) Government Research Briefing </w:t>
      </w:r>
      <w:hyperlink r:id="rId24" w:history="1">
        <w:r w:rsidRPr="00287C40">
          <w:rPr>
            <w:rStyle w:val="Hyperlink"/>
            <w:sz w:val="24"/>
            <w:szCs w:val="24"/>
          </w:rPr>
          <w:t>CBP-10171.pdf</w:t>
        </w:r>
      </w:hyperlink>
      <w:r w:rsidRPr="00287C40">
        <w:rPr>
          <w:sz w:val="24"/>
          <w:szCs w:val="24"/>
        </w:rPr>
        <w:t xml:space="preserve"> Section 7 deals with concerns with weight loss medicines. The ICB is aware of these concerns but is not able to act in a regulatory capacity. We understand that NHS providers would like support in tackling the inappropriate private supply route. We will write to NHS England, GPhC and </w:t>
      </w:r>
      <w:r w:rsidRPr="00287C40">
        <w:rPr>
          <w:sz w:val="24"/>
          <w:szCs w:val="24"/>
        </w:rPr>
        <w:lastRenderedPageBreak/>
        <w:t>GMC to raise our concerns, as significant change goes beyond the remit of the 'powers' of the Integrated Care Board. In the interim, we seek to provide general advice and sources of information on this topic.</w:t>
      </w:r>
    </w:p>
    <w:p w14:paraId="2D939C46" w14:textId="7E7D1136" w:rsidR="00043D22" w:rsidRPr="00287C40" w:rsidRDefault="00043D22" w:rsidP="00E4763A">
      <w:pPr>
        <w:rPr>
          <w:rFonts w:ascii="Aptos" w:hAnsi="Aptos"/>
          <w:sz w:val="24"/>
          <w:szCs w:val="24"/>
        </w:rPr>
      </w:pPr>
      <w:r w:rsidRPr="00287C40">
        <w:rPr>
          <w:rFonts w:ascii="Aptos" w:hAnsi="Aptos"/>
          <w:sz w:val="24"/>
          <w:szCs w:val="24"/>
        </w:rPr>
        <w:t>We are aware of a variety of legitimate and illegitimate routes to obtain GLP-1 weight loss medicines.</w:t>
      </w:r>
    </w:p>
    <w:p w14:paraId="5EFA47A6" w14:textId="13E4CE00" w:rsidR="00043D22" w:rsidRPr="00287C40" w:rsidRDefault="00043D22" w:rsidP="00E4763A">
      <w:pPr>
        <w:rPr>
          <w:rFonts w:ascii="Aptos" w:hAnsi="Aptos"/>
          <w:sz w:val="24"/>
          <w:szCs w:val="24"/>
        </w:rPr>
      </w:pPr>
      <w:r w:rsidRPr="00287C40">
        <w:rPr>
          <w:rFonts w:ascii="Aptos" w:hAnsi="Aptos"/>
          <w:sz w:val="24"/>
          <w:szCs w:val="24"/>
        </w:rPr>
        <w:t xml:space="preserve">We advise patients to obtain ANY prescription-only medicines from legitimate healthcare providers only. </w:t>
      </w:r>
    </w:p>
    <w:p w14:paraId="7F5E6C7C" w14:textId="3C6D381E" w:rsidR="000B30CE" w:rsidRDefault="000B30CE" w:rsidP="000B30CE">
      <w:pPr>
        <w:pStyle w:val="Heading3"/>
        <w:numPr>
          <w:ilvl w:val="0"/>
          <w:numId w:val="6"/>
        </w:numPr>
      </w:pPr>
      <w:bookmarkStart w:id="13" w:name="_Toc201564315"/>
      <w:r>
        <w:t>Medicines Healthcare products and Regulatory Agency (MHRA)</w:t>
      </w:r>
      <w:bookmarkEnd w:id="13"/>
    </w:p>
    <w:p w14:paraId="775DF455" w14:textId="36FC07FF" w:rsidR="000B30CE" w:rsidRPr="000B30CE" w:rsidRDefault="000B30CE" w:rsidP="000B30CE">
      <w:pPr>
        <w:rPr>
          <w:rFonts w:ascii="Aptos" w:hAnsi="Aptos"/>
          <w:sz w:val="24"/>
          <w:szCs w:val="24"/>
        </w:rPr>
      </w:pPr>
      <w:r w:rsidRPr="00287C40">
        <w:rPr>
          <w:rFonts w:ascii="Aptos" w:hAnsi="Aptos"/>
          <w:sz w:val="24"/>
          <w:szCs w:val="24"/>
        </w:rPr>
        <w:t xml:space="preserve">The Medicines Health and Regulatory Agency have produced guidance for the public, GLP-1 medicines for weight loss and diabetes: what you need to know. </w:t>
      </w:r>
      <w:r w:rsidRPr="000B30CE">
        <w:rPr>
          <w:rFonts w:ascii="Aptos" w:hAnsi="Aptos"/>
          <w:sz w:val="24"/>
          <w:szCs w:val="24"/>
        </w:rPr>
        <w:t>Guidance on the safe and effective use of GLP-1 medicines for weight loss and diabetes</w:t>
      </w:r>
      <w:r w:rsidRPr="00287C40">
        <w:rPr>
          <w:rFonts w:ascii="Aptos" w:hAnsi="Aptos"/>
          <w:sz w:val="24"/>
          <w:szCs w:val="24"/>
        </w:rPr>
        <w:t>:</w:t>
      </w:r>
    </w:p>
    <w:p w14:paraId="1DC8F307" w14:textId="777F1FBF" w:rsidR="000B30CE" w:rsidRPr="00287C40" w:rsidRDefault="000B30CE" w:rsidP="00E4763A">
      <w:pPr>
        <w:rPr>
          <w:rFonts w:ascii="Aptos" w:hAnsi="Aptos"/>
          <w:sz w:val="24"/>
          <w:szCs w:val="24"/>
        </w:rPr>
      </w:pPr>
      <w:hyperlink r:id="rId25" w:history="1">
        <w:r w:rsidRPr="00287C40">
          <w:rPr>
            <w:rStyle w:val="Hyperlink"/>
            <w:rFonts w:ascii="Aptos" w:hAnsi="Aptos"/>
            <w:sz w:val="24"/>
            <w:szCs w:val="24"/>
          </w:rPr>
          <w:t>https://www.gov.uk/government/publications/glp-1-medicines-for-weight-loss-and-diabetes-what-you-need-to-know</w:t>
        </w:r>
      </w:hyperlink>
    </w:p>
    <w:p w14:paraId="5350456A" w14:textId="2B5235ED" w:rsidR="006D3958" w:rsidRDefault="006D3958" w:rsidP="000B30CE">
      <w:pPr>
        <w:pStyle w:val="Heading3"/>
        <w:numPr>
          <w:ilvl w:val="0"/>
          <w:numId w:val="6"/>
        </w:numPr>
      </w:pPr>
      <w:bookmarkStart w:id="14" w:name="_Toc201564316"/>
      <w:r w:rsidRPr="00561F1F">
        <w:t>The M</w:t>
      </w:r>
      <w:r w:rsidR="000B30CE">
        <w:t xml:space="preserve">edical </w:t>
      </w:r>
      <w:r w:rsidRPr="00561F1F">
        <w:t>D</w:t>
      </w:r>
      <w:r w:rsidR="000B30CE">
        <w:t xml:space="preserve">efence </w:t>
      </w:r>
      <w:r w:rsidRPr="00561F1F">
        <w:t>U</w:t>
      </w:r>
      <w:r w:rsidR="000B30CE">
        <w:t>nion (MDU)</w:t>
      </w:r>
      <w:bookmarkEnd w:id="14"/>
    </w:p>
    <w:p w14:paraId="619B9C2C" w14:textId="56297543" w:rsidR="006D3958" w:rsidRPr="00287C40" w:rsidRDefault="006D3958" w:rsidP="006D3958">
      <w:pPr>
        <w:rPr>
          <w:sz w:val="24"/>
          <w:szCs w:val="24"/>
        </w:rPr>
      </w:pPr>
      <w:r w:rsidRPr="00287C40">
        <w:rPr>
          <w:sz w:val="24"/>
          <w:szCs w:val="24"/>
        </w:rPr>
        <w:t>The MDU have provided some clear advice on this topic</w:t>
      </w:r>
      <w:r w:rsidR="00287C40">
        <w:rPr>
          <w:sz w:val="24"/>
          <w:szCs w:val="24"/>
        </w:rPr>
        <w:t xml:space="preserve"> for clinicians:</w:t>
      </w:r>
    </w:p>
    <w:p w14:paraId="4983E03A" w14:textId="77777777" w:rsidR="006D3958" w:rsidRPr="00287C40" w:rsidRDefault="006D3958" w:rsidP="006D3958">
      <w:pPr>
        <w:rPr>
          <w:sz w:val="24"/>
          <w:szCs w:val="24"/>
        </w:rPr>
      </w:pPr>
      <w:hyperlink r:id="rId26" w:history="1">
        <w:r w:rsidRPr="00287C40">
          <w:rPr>
            <w:rStyle w:val="Hyperlink"/>
            <w:sz w:val="24"/>
            <w:szCs w:val="24"/>
          </w:rPr>
          <w:t>https://www.themdu.com/guidance-and-advice/latest-updates-and-advice/advice-on-disclosing-information-for-patients-weight-loss-medication</w:t>
        </w:r>
      </w:hyperlink>
    </w:p>
    <w:p w14:paraId="3DE925D2" w14:textId="77777777" w:rsidR="006D3958" w:rsidRPr="00561F1F" w:rsidRDefault="006D3958" w:rsidP="000B30CE">
      <w:pPr>
        <w:pStyle w:val="Heading3"/>
        <w:numPr>
          <w:ilvl w:val="0"/>
          <w:numId w:val="6"/>
        </w:numPr>
      </w:pPr>
      <w:bookmarkStart w:id="15" w:name="_Toc201564317"/>
      <w:r w:rsidRPr="00561F1F">
        <w:t>Humber Local Medical Committee</w:t>
      </w:r>
      <w:bookmarkEnd w:id="15"/>
    </w:p>
    <w:p w14:paraId="345CBB30" w14:textId="6F3F1568" w:rsidR="006D3958" w:rsidRPr="00561F1F" w:rsidRDefault="006D3958" w:rsidP="006D3958">
      <w:pPr>
        <w:rPr>
          <w:sz w:val="24"/>
          <w:szCs w:val="24"/>
        </w:rPr>
      </w:pPr>
      <w:r w:rsidRPr="00561F1F">
        <w:rPr>
          <w:sz w:val="24"/>
          <w:szCs w:val="24"/>
        </w:rPr>
        <w:t>The Humber LMC has produced guidance on the matter</w:t>
      </w:r>
      <w:r w:rsidR="00287C40">
        <w:rPr>
          <w:sz w:val="24"/>
          <w:szCs w:val="24"/>
        </w:rPr>
        <w:t xml:space="preserve"> for GPs</w:t>
      </w:r>
      <w:r w:rsidRPr="00561F1F">
        <w:rPr>
          <w:sz w:val="24"/>
          <w:szCs w:val="24"/>
        </w:rPr>
        <w:t xml:space="preserve">: </w:t>
      </w:r>
      <w:hyperlink r:id="rId27" w:history="1">
        <w:r w:rsidRPr="00561F1F">
          <w:rPr>
            <w:rStyle w:val="Hyperlink"/>
            <w:sz w:val="24"/>
            <w:szCs w:val="24"/>
          </w:rPr>
          <w:t>Private Weight Loss Guidance – Humberside LMC</w:t>
        </w:r>
      </w:hyperlink>
    </w:p>
    <w:p w14:paraId="6485E85E" w14:textId="77777777" w:rsidR="006D3958" w:rsidRPr="00287C40" w:rsidRDefault="006D3958" w:rsidP="006D3958">
      <w:pPr>
        <w:rPr>
          <w:i/>
          <w:iCs/>
          <w:sz w:val="24"/>
          <w:szCs w:val="24"/>
        </w:rPr>
      </w:pPr>
      <w:r w:rsidRPr="00287C40">
        <w:rPr>
          <w:i/>
          <w:iCs/>
          <w:sz w:val="24"/>
          <w:szCs w:val="24"/>
        </w:rPr>
        <w:t>"In line with Good Medical Practice guidance, it is the responsibility of the prescriber to make an assessment of the patient and judge their suitability to receive the prescription.</w:t>
      </w:r>
    </w:p>
    <w:p w14:paraId="00304661" w14:textId="77777777" w:rsidR="006D3958" w:rsidRPr="00287C40" w:rsidRDefault="006D3958" w:rsidP="006D3958">
      <w:pPr>
        <w:rPr>
          <w:i/>
          <w:iCs/>
          <w:sz w:val="24"/>
          <w:szCs w:val="24"/>
        </w:rPr>
      </w:pPr>
      <w:r w:rsidRPr="00287C40">
        <w:rPr>
          <w:i/>
          <w:iCs/>
          <w:sz w:val="24"/>
          <w:szCs w:val="24"/>
        </w:rPr>
        <w:t>It is not acceptable for private providers to seek to transfer this responsibility to the patients' NHS GP and GPC has issued </w:t>
      </w:r>
      <w:hyperlink r:id="rId28" w:history="1">
        <w:r w:rsidRPr="00287C40">
          <w:rPr>
            <w:rStyle w:val="Hyperlink"/>
            <w:i/>
            <w:iCs/>
            <w:sz w:val="24"/>
            <w:szCs w:val="24"/>
          </w:rPr>
          <w:t>updated guidance</w:t>
        </w:r>
      </w:hyperlink>
      <w:r w:rsidRPr="00287C40">
        <w:rPr>
          <w:i/>
          <w:iCs/>
          <w:sz w:val="24"/>
          <w:szCs w:val="24"/>
        </w:rPr>
        <w:t> to pharmacists about the risks and responsibilities of this prescribing. This includes them seeking information from the patient directly or conducting video consultations etc…"</w:t>
      </w:r>
    </w:p>
    <w:p w14:paraId="57089DC0" w14:textId="77777777" w:rsidR="006D3958" w:rsidRPr="00287C40" w:rsidRDefault="006D3958" w:rsidP="006D3958">
      <w:pPr>
        <w:rPr>
          <w:i/>
          <w:iCs/>
          <w:sz w:val="24"/>
          <w:szCs w:val="24"/>
        </w:rPr>
      </w:pPr>
      <w:r w:rsidRPr="00287C40">
        <w:rPr>
          <w:i/>
          <w:iCs/>
          <w:sz w:val="24"/>
          <w:szCs w:val="24"/>
        </w:rPr>
        <w:t>"However, while these private companies may change how they approach this prescribing in the future, we want patients to receive safe treatment and not come to harm. Important MDO guidance on these requests has been published and we would advise you read this. </w:t>
      </w:r>
      <w:hyperlink r:id="rId29" w:history="1">
        <w:r w:rsidRPr="00287C40">
          <w:rPr>
            <w:rStyle w:val="Hyperlink"/>
            <w:i/>
            <w:iCs/>
            <w:sz w:val="24"/>
            <w:szCs w:val="24"/>
          </w:rPr>
          <w:t>Read the MDO guidance</w:t>
        </w:r>
      </w:hyperlink>
      <w:r w:rsidRPr="00287C40">
        <w:rPr>
          <w:i/>
          <w:iCs/>
          <w:sz w:val="24"/>
          <w:szCs w:val="24"/>
        </w:rPr>
        <w:t>.</w:t>
      </w:r>
    </w:p>
    <w:p w14:paraId="0098B688" w14:textId="77777777" w:rsidR="006D3958" w:rsidRPr="00561F1F" w:rsidRDefault="006D3958" w:rsidP="006D3958">
      <w:pPr>
        <w:rPr>
          <w:sz w:val="24"/>
          <w:szCs w:val="24"/>
        </w:rPr>
      </w:pPr>
      <w:r w:rsidRPr="00561F1F">
        <w:rPr>
          <w:sz w:val="24"/>
          <w:szCs w:val="24"/>
        </w:rPr>
        <w:t>It summarises:</w:t>
      </w:r>
    </w:p>
    <w:p w14:paraId="7D9F30DB" w14:textId="77777777" w:rsidR="006D3958" w:rsidRPr="00561F1F" w:rsidRDefault="006D3958" w:rsidP="006D3958">
      <w:pPr>
        <w:rPr>
          <w:sz w:val="24"/>
          <w:szCs w:val="24"/>
        </w:rPr>
      </w:pPr>
      <w:r w:rsidRPr="00561F1F">
        <w:rPr>
          <w:i/>
          <w:iCs/>
          <w:sz w:val="24"/>
          <w:szCs w:val="24"/>
        </w:rPr>
        <w:t>“If it becomes clear that the weight loss medication is contraindicated, it probably isn’t an option to ignore the letter.</w:t>
      </w:r>
    </w:p>
    <w:p w14:paraId="5F223D44" w14:textId="77777777" w:rsidR="006D3958" w:rsidRPr="00561F1F" w:rsidRDefault="006D3958" w:rsidP="006D3958">
      <w:pPr>
        <w:rPr>
          <w:sz w:val="24"/>
          <w:szCs w:val="24"/>
        </w:rPr>
      </w:pPr>
      <w:r w:rsidRPr="00561F1F">
        <w:rPr>
          <w:i/>
          <w:iCs/>
          <w:sz w:val="24"/>
          <w:szCs w:val="24"/>
        </w:rPr>
        <w:t>Another dilemma arises if the patient has misrepresented their BMI or medical history to the pharmacy. In these circumstances, it is best to check with the patient about whether they consent to the information being disclosed.”</w:t>
      </w:r>
    </w:p>
    <w:p w14:paraId="3F953AE3" w14:textId="77777777" w:rsidR="006D3958" w:rsidRPr="00561F1F" w:rsidRDefault="006D3958" w:rsidP="006D3958">
      <w:pPr>
        <w:rPr>
          <w:sz w:val="24"/>
          <w:szCs w:val="24"/>
        </w:rPr>
      </w:pPr>
      <w:r w:rsidRPr="00561F1F">
        <w:rPr>
          <w:sz w:val="24"/>
          <w:szCs w:val="24"/>
        </w:rPr>
        <w:lastRenderedPageBreak/>
        <w:t>The MDO guidance then advises how you may approach highlighting any concerns, including seeking consent from the patient."</w:t>
      </w:r>
    </w:p>
    <w:p w14:paraId="574ED9F7" w14:textId="40830EE8" w:rsidR="006D3958" w:rsidRDefault="006D3958" w:rsidP="000B30CE">
      <w:pPr>
        <w:pStyle w:val="Heading3"/>
        <w:numPr>
          <w:ilvl w:val="0"/>
          <w:numId w:val="6"/>
        </w:numPr>
      </w:pPr>
      <w:bookmarkStart w:id="16" w:name="_Toc201564318"/>
      <w:r>
        <w:t>General Pharmaceutical Council</w:t>
      </w:r>
      <w:bookmarkEnd w:id="16"/>
    </w:p>
    <w:p w14:paraId="2838A12B" w14:textId="2056A554" w:rsidR="00B42630" w:rsidRPr="00287C40" w:rsidRDefault="00B42630" w:rsidP="00B42630">
      <w:pPr>
        <w:rPr>
          <w:sz w:val="24"/>
          <w:szCs w:val="24"/>
        </w:rPr>
      </w:pPr>
      <w:r w:rsidRPr="00287C40">
        <w:rPr>
          <w:sz w:val="24"/>
          <w:szCs w:val="24"/>
        </w:rPr>
        <w:t xml:space="preserve">The General Pharmaceutical Council (GPhC) has published the standards expected of pharmacy owners and Superintendent Pharmacist in ensuring safe and effective provision of services at a distance (including on the internet), rather than in the traditional face-to-face way: </w:t>
      </w:r>
      <w:hyperlink r:id="rId30" w:history="1">
        <w:r w:rsidRPr="00287C40">
          <w:rPr>
            <w:rStyle w:val="Hyperlink"/>
            <w:sz w:val="24"/>
            <w:szCs w:val="24"/>
          </w:rPr>
          <w:t>Guidance for registered pharmacies providing pharmacy services at a distance, including on the internet</w:t>
        </w:r>
      </w:hyperlink>
      <w:r w:rsidRPr="00287C40">
        <w:rPr>
          <w:sz w:val="24"/>
          <w:szCs w:val="24"/>
        </w:rPr>
        <w:t xml:space="preserve">. This document identifies some medicines </w:t>
      </w:r>
      <w:r w:rsidR="00287C40">
        <w:rPr>
          <w:sz w:val="24"/>
          <w:szCs w:val="24"/>
        </w:rPr>
        <w:t xml:space="preserve">that </w:t>
      </w:r>
      <w:r w:rsidRPr="00287C40">
        <w:rPr>
          <w:sz w:val="24"/>
          <w:szCs w:val="24"/>
        </w:rPr>
        <w:t>are not suitable to be prescribed by a questionnaire model alone, and some medicines are not suitable to be supplied unless extra safeguards have been put in place to make sure they are clinically appropriate</w:t>
      </w:r>
      <w:r w:rsidR="00287C40">
        <w:rPr>
          <w:sz w:val="24"/>
          <w:szCs w:val="24"/>
        </w:rPr>
        <w:t>.</w:t>
      </w:r>
      <w:r w:rsidRPr="00287C40">
        <w:rPr>
          <w:sz w:val="24"/>
          <w:szCs w:val="24"/>
        </w:rPr>
        <w:t xml:space="preserve"> </w:t>
      </w:r>
      <w:r w:rsidR="00287C40">
        <w:rPr>
          <w:sz w:val="24"/>
          <w:szCs w:val="24"/>
        </w:rPr>
        <w:t>T</w:t>
      </w:r>
      <w:r w:rsidRPr="00287C40">
        <w:rPr>
          <w:sz w:val="24"/>
          <w:szCs w:val="24"/>
        </w:rPr>
        <w:t xml:space="preserve">he publication lists </w:t>
      </w:r>
      <w:r w:rsidRPr="00287C40">
        <w:rPr>
          <w:i/>
          <w:iCs/>
          <w:sz w:val="24"/>
          <w:szCs w:val="24"/>
        </w:rPr>
        <w:t>medicines used for weight management</w:t>
      </w:r>
      <w:r w:rsidRPr="00287C40">
        <w:rPr>
          <w:sz w:val="24"/>
          <w:szCs w:val="24"/>
        </w:rPr>
        <w:t xml:space="preserve"> included within this cohort. </w:t>
      </w:r>
    </w:p>
    <w:p w14:paraId="6B654C21" w14:textId="431E2568" w:rsidR="00B42630" w:rsidRPr="00561F1F" w:rsidRDefault="00B42630" w:rsidP="00B42630">
      <w:pPr>
        <w:rPr>
          <w:sz w:val="24"/>
          <w:szCs w:val="24"/>
        </w:rPr>
      </w:pPr>
      <w:r w:rsidRPr="00287C40">
        <w:rPr>
          <w:sz w:val="24"/>
          <w:szCs w:val="24"/>
        </w:rPr>
        <w:t>Additionally, in considering pharmacy remote weight loss management clinics, the guidance states: "the prescriber independently verifies the person’s weight, height and/or body mass index. By ‘independently’ we mean that the prescriber uses a different way to verify the information provided to them by the person. This could be through a video consultation, in person, from the person’s clinical records or by contacting another healthcare provider such as the person’s GP. Verifying information helps to confirm that any continued supply is clinically suitable and helps to safeguard</w:t>
      </w:r>
      <w:r w:rsidRPr="00561F1F">
        <w:rPr>
          <w:sz w:val="24"/>
          <w:szCs w:val="24"/>
        </w:rPr>
        <w:t xml:space="preserve"> vulnerable people. Verifying information through a phone call would not be appropriate when supplying medication for weight loss".</w:t>
      </w:r>
    </w:p>
    <w:p w14:paraId="2826832E" w14:textId="77777777" w:rsidR="00B42630" w:rsidRDefault="00B42630" w:rsidP="00B42630">
      <w:pPr>
        <w:rPr>
          <w:sz w:val="24"/>
          <w:szCs w:val="24"/>
        </w:rPr>
      </w:pPr>
      <w:r w:rsidRPr="00561F1F">
        <w:rPr>
          <w:sz w:val="24"/>
          <w:szCs w:val="24"/>
        </w:rPr>
        <w:t xml:space="preserve">The GPhC's guidance should be used alongside the GPhC's </w:t>
      </w:r>
      <w:hyperlink r:id="rId31" w:history="1">
        <w:r w:rsidRPr="00561F1F">
          <w:rPr>
            <w:rStyle w:val="Hyperlink"/>
            <w:sz w:val="24"/>
            <w:szCs w:val="24"/>
          </w:rPr>
          <w:t>Standards for registered pharmacies</w:t>
        </w:r>
      </w:hyperlink>
      <w:r w:rsidRPr="00561F1F">
        <w:rPr>
          <w:sz w:val="24"/>
          <w:szCs w:val="24"/>
        </w:rPr>
        <w:t xml:space="preserve"> and the </w:t>
      </w:r>
      <w:hyperlink r:id="rId32" w:history="1">
        <w:r w:rsidRPr="00561F1F">
          <w:rPr>
            <w:rStyle w:val="Hyperlink"/>
            <w:sz w:val="24"/>
            <w:szCs w:val="24"/>
          </w:rPr>
          <w:t>Standards for pharmacy professionals</w:t>
        </w:r>
      </w:hyperlink>
      <w:r w:rsidRPr="00561F1F">
        <w:rPr>
          <w:sz w:val="24"/>
          <w:szCs w:val="24"/>
        </w:rPr>
        <w:t>.</w:t>
      </w:r>
    </w:p>
    <w:p w14:paraId="409A07A5" w14:textId="5AC5F424" w:rsidR="00B42630" w:rsidRDefault="006D3958" w:rsidP="000B30CE">
      <w:pPr>
        <w:pStyle w:val="Heading3"/>
        <w:numPr>
          <w:ilvl w:val="0"/>
          <w:numId w:val="6"/>
        </w:numPr>
      </w:pPr>
      <w:bookmarkStart w:id="17" w:name="_Toc201564319"/>
      <w:r>
        <w:t>Royal Pharmaceutical Society</w:t>
      </w:r>
      <w:bookmarkEnd w:id="17"/>
    </w:p>
    <w:p w14:paraId="3052A593" w14:textId="56EC4182" w:rsidR="00B42630" w:rsidRPr="00287C40" w:rsidRDefault="00B42630" w:rsidP="00B42630">
      <w:pPr>
        <w:rPr>
          <w:sz w:val="24"/>
          <w:szCs w:val="24"/>
        </w:rPr>
      </w:pPr>
      <w:r w:rsidRPr="00287C40">
        <w:rPr>
          <w:sz w:val="24"/>
          <w:szCs w:val="24"/>
        </w:rPr>
        <w:t xml:space="preserve">The Royal Pharmaceutical Society's publication </w:t>
      </w:r>
      <w:hyperlink r:id="rId33" w:history="1">
        <w:r w:rsidRPr="00287C40">
          <w:rPr>
            <w:rStyle w:val="Hyperlink"/>
            <w:sz w:val="24"/>
            <w:szCs w:val="24"/>
          </w:rPr>
          <w:t>A Competency Framework for all Prescribers</w:t>
        </w:r>
      </w:hyperlink>
      <w:r w:rsidRPr="00287C40">
        <w:rPr>
          <w:sz w:val="24"/>
          <w:szCs w:val="24"/>
        </w:rPr>
        <w:t xml:space="preserve"> identifies the monitoring of any prescribing decisions is a core function of prescribing; we would expect the prescriber ensures monitoring is undertaken.</w:t>
      </w:r>
    </w:p>
    <w:p w14:paraId="522CFF73" w14:textId="77777777" w:rsidR="00B42630" w:rsidRDefault="00B42630" w:rsidP="00E4763A">
      <w:pPr>
        <w:rPr>
          <w:sz w:val="24"/>
          <w:szCs w:val="24"/>
        </w:rPr>
      </w:pPr>
    </w:p>
    <w:p w14:paraId="4E78D73F" w14:textId="1D48DD08" w:rsidR="005C2395" w:rsidRPr="008A74D4" w:rsidRDefault="005C2395" w:rsidP="008A74D4">
      <w:pPr>
        <w:pStyle w:val="Heading2"/>
      </w:pPr>
      <w:bookmarkStart w:id="18" w:name="_Toc201564320"/>
      <w:r w:rsidRPr="008A74D4">
        <w:t>Specific Advice on Contraception</w:t>
      </w:r>
      <w:r w:rsidR="00304738" w:rsidRPr="008A74D4">
        <w:t>/Pregnancy</w:t>
      </w:r>
      <w:bookmarkEnd w:id="18"/>
    </w:p>
    <w:p w14:paraId="2D00A4E3" w14:textId="16DF8D21" w:rsidR="00304738" w:rsidRPr="00287C40" w:rsidRDefault="00304738" w:rsidP="00304738">
      <w:pPr>
        <w:rPr>
          <w:rFonts w:ascii="Aptos" w:hAnsi="Aptos"/>
          <w:sz w:val="24"/>
          <w:szCs w:val="24"/>
        </w:rPr>
      </w:pPr>
      <w:r w:rsidRPr="00287C40">
        <w:rPr>
          <w:rFonts w:ascii="Aptos" w:hAnsi="Aptos"/>
          <w:sz w:val="24"/>
          <w:szCs w:val="24"/>
        </w:rPr>
        <w:t xml:space="preserve">All individuals of child-bearing potential (who </w:t>
      </w:r>
      <w:proofErr w:type="gramStart"/>
      <w:r w:rsidRPr="00287C40">
        <w:rPr>
          <w:rFonts w:ascii="Aptos" w:hAnsi="Aptos"/>
          <w:sz w:val="24"/>
          <w:szCs w:val="24"/>
        </w:rPr>
        <w:t>are able to</w:t>
      </w:r>
      <w:proofErr w:type="gramEnd"/>
      <w:r w:rsidRPr="00287C40">
        <w:rPr>
          <w:rFonts w:ascii="Aptos" w:hAnsi="Aptos"/>
          <w:sz w:val="24"/>
          <w:szCs w:val="24"/>
        </w:rPr>
        <w:t xml:space="preserve"> become pregnant) using GLP-1 medications should take steps to ensure they do not become pregnant.  </w:t>
      </w:r>
    </w:p>
    <w:p w14:paraId="69D9006A" w14:textId="5978EEF6" w:rsidR="00304738" w:rsidRDefault="00304738" w:rsidP="00304738">
      <w:pPr>
        <w:pStyle w:val="Heading3"/>
      </w:pPr>
      <w:bookmarkStart w:id="19" w:name="_Toc201564321"/>
      <w:r>
        <w:t>MHRA</w:t>
      </w:r>
      <w:bookmarkEnd w:id="19"/>
    </w:p>
    <w:p w14:paraId="74CCA83E" w14:textId="77E83A29" w:rsidR="00304738" w:rsidRDefault="00304738" w:rsidP="00304738">
      <w:pPr>
        <w:rPr>
          <w:rFonts w:ascii="Aptos" w:hAnsi="Aptos"/>
          <w:sz w:val="24"/>
          <w:szCs w:val="24"/>
        </w:rPr>
      </w:pPr>
      <w:r w:rsidRPr="00304738">
        <w:rPr>
          <w:rFonts w:ascii="Aptos" w:hAnsi="Aptos"/>
          <w:sz w:val="24"/>
          <w:szCs w:val="24"/>
        </w:rPr>
        <w:t xml:space="preserve">The MHRA have provided some </w:t>
      </w:r>
      <w:hyperlink r:id="rId34" w:anchor="glp-1-medicines-contraception-and-pregnancy" w:history="1">
        <w:r w:rsidRPr="00304738">
          <w:rPr>
            <w:rStyle w:val="Hyperlink"/>
            <w:rFonts w:ascii="Aptos" w:hAnsi="Aptos"/>
            <w:sz w:val="24"/>
            <w:szCs w:val="24"/>
          </w:rPr>
          <w:t>guidance</w:t>
        </w:r>
      </w:hyperlink>
    </w:p>
    <w:p w14:paraId="0FB3488E" w14:textId="6164D859" w:rsidR="00304738" w:rsidRDefault="00304738" w:rsidP="00304738">
      <w:pPr>
        <w:pStyle w:val="Heading3"/>
      </w:pPr>
      <w:bookmarkStart w:id="20" w:name="_Toc201564322"/>
      <w:r>
        <w:t>FSHR</w:t>
      </w:r>
      <w:bookmarkEnd w:id="20"/>
    </w:p>
    <w:p w14:paraId="6DB004D6" w14:textId="2D1B69B6" w:rsidR="00304738" w:rsidRPr="00304738" w:rsidRDefault="00304738" w:rsidP="005C2395">
      <w:pPr>
        <w:rPr>
          <w:rFonts w:ascii="Aptos" w:hAnsi="Aptos"/>
          <w:sz w:val="24"/>
          <w:szCs w:val="24"/>
        </w:rPr>
      </w:pPr>
      <w:r w:rsidRPr="00304738">
        <w:rPr>
          <w:rFonts w:ascii="Aptos" w:hAnsi="Aptos"/>
          <w:sz w:val="24"/>
          <w:szCs w:val="24"/>
        </w:rPr>
        <w:t xml:space="preserve">The Faculty of Sexual Health &amp; Reproductive Healthcare (FSHR) have produced guidance for </w:t>
      </w:r>
      <w:hyperlink r:id="rId35" w:history="1">
        <w:r w:rsidRPr="00304738">
          <w:rPr>
            <w:rStyle w:val="Hyperlink"/>
            <w:rFonts w:ascii="Aptos" w:hAnsi="Aptos"/>
            <w:sz w:val="24"/>
            <w:szCs w:val="24"/>
          </w:rPr>
          <w:t>Clinicians</w:t>
        </w:r>
      </w:hyperlink>
      <w:r w:rsidRPr="00304738">
        <w:rPr>
          <w:rFonts w:ascii="Aptos" w:hAnsi="Aptos"/>
          <w:sz w:val="24"/>
          <w:szCs w:val="24"/>
        </w:rPr>
        <w:t xml:space="preserve"> and  </w:t>
      </w:r>
      <w:hyperlink r:id="rId36" w:history="1">
        <w:r w:rsidRPr="00304738">
          <w:rPr>
            <w:rStyle w:val="Hyperlink"/>
            <w:rFonts w:ascii="Aptos" w:hAnsi="Aptos"/>
            <w:sz w:val="24"/>
            <w:szCs w:val="24"/>
          </w:rPr>
          <w:t>Patients</w:t>
        </w:r>
      </w:hyperlink>
      <w:r w:rsidRPr="00304738">
        <w:rPr>
          <w:rFonts w:ascii="Aptos" w:hAnsi="Aptos"/>
          <w:sz w:val="24"/>
          <w:szCs w:val="24"/>
        </w:rPr>
        <w:t xml:space="preserve"> </w:t>
      </w:r>
    </w:p>
    <w:p w14:paraId="01FE73AF" w14:textId="77777777" w:rsidR="00304738" w:rsidRDefault="00304738" w:rsidP="005C2395"/>
    <w:p w14:paraId="0977F018" w14:textId="012E55DE" w:rsidR="00EC478B" w:rsidRPr="008A74D4" w:rsidRDefault="00EC478B" w:rsidP="008A74D4">
      <w:pPr>
        <w:pStyle w:val="Heading2"/>
      </w:pPr>
      <w:bookmarkStart w:id="21" w:name="_Toc201564323"/>
      <w:r w:rsidRPr="008A74D4">
        <w:lastRenderedPageBreak/>
        <w:t>Black Triangle Status</w:t>
      </w:r>
      <w:bookmarkEnd w:id="21"/>
    </w:p>
    <w:p w14:paraId="0ADBA3D3" w14:textId="77777777" w:rsidR="00B37420" w:rsidRDefault="00EC478B" w:rsidP="005C2395">
      <w:pPr>
        <w:rPr>
          <w:sz w:val="24"/>
          <w:szCs w:val="24"/>
        </w:rPr>
      </w:pPr>
      <w:r w:rsidRPr="00EC478B">
        <w:rPr>
          <w:sz w:val="24"/>
          <w:szCs w:val="24"/>
        </w:rPr>
        <w:t xml:space="preserve">We remind all clinicians that these are 'black triangle medicines'. </w:t>
      </w:r>
    </w:p>
    <w:p w14:paraId="68079D19" w14:textId="77777777" w:rsidR="00B37420" w:rsidRDefault="00B37420" w:rsidP="005C2395">
      <w:pPr>
        <w:rPr>
          <w:sz w:val="24"/>
          <w:szCs w:val="24"/>
        </w:rPr>
      </w:pPr>
      <w:r w:rsidRPr="00B37420">
        <w:rPr>
          <w:sz w:val="24"/>
          <w:szCs w:val="24"/>
        </w:rPr>
        <w:t>Up to and including May 29, the Medicines and Healthcare products Regulatory Agency (MHRA) has received “a total of 111 UK spontaneous suspected adverse drug reaction (ADR) reports with a fatal outcome” where glucagon-like peptide-1 receptor agonists (GLP-1 RA) medicines were used for any reason, the regulator has revealed.</w:t>
      </w:r>
      <w:r>
        <w:rPr>
          <w:sz w:val="24"/>
          <w:szCs w:val="24"/>
        </w:rPr>
        <w:t xml:space="preserve"> (</w:t>
      </w:r>
      <w:hyperlink r:id="rId37" w:history="1">
        <w:r w:rsidRPr="00B37420">
          <w:rPr>
            <w:rStyle w:val="Hyperlink"/>
            <w:sz w:val="24"/>
            <w:szCs w:val="24"/>
          </w:rPr>
          <w:t>Source</w:t>
        </w:r>
      </w:hyperlink>
      <w:r>
        <w:rPr>
          <w:sz w:val="24"/>
          <w:szCs w:val="24"/>
        </w:rPr>
        <w:t xml:space="preserve">) </w:t>
      </w:r>
    </w:p>
    <w:p w14:paraId="3D7D01CE" w14:textId="2D887BF1" w:rsidR="00B37420" w:rsidRPr="00EC478B" w:rsidRDefault="00EC478B" w:rsidP="005C2395">
      <w:pPr>
        <w:rPr>
          <w:sz w:val="24"/>
          <w:szCs w:val="24"/>
        </w:rPr>
      </w:pPr>
      <w:r w:rsidRPr="00EC478B">
        <w:rPr>
          <w:sz w:val="24"/>
          <w:szCs w:val="24"/>
        </w:rPr>
        <w:t xml:space="preserve">All reported side effects </w:t>
      </w:r>
      <w:r>
        <w:rPr>
          <w:sz w:val="24"/>
          <w:szCs w:val="24"/>
        </w:rPr>
        <w:t xml:space="preserve">and adverse effects </w:t>
      </w:r>
      <w:r w:rsidRPr="00EC478B">
        <w:rPr>
          <w:sz w:val="24"/>
          <w:szCs w:val="24"/>
        </w:rPr>
        <w:t>should be reported to the MHRA using the Yellow Card Scheme.</w:t>
      </w:r>
    </w:p>
    <w:p w14:paraId="7A7B9E57" w14:textId="0B17C6EF" w:rsidR="00EC478B" w:rsidRPr="00EC478B" w:rsidRDefault="00B37420" w:rsidP="005C2395">
      <w:pPr>
        <w:rPr>
          <w:sz w:val="24"/>
          <w:szCs w:val="24"/>
        </w:rPr>
      </w:pPr>
      <w:hyperlink r:id="rId38" w:history="1">
        <w:r w:rsidRPr="00280700">
          <w:rPr>
            <w:rStyle w:val="Hyperlink"/>
            <w:sz w:val="24"/>
            <w:szCs w:val="24"/>
          </w:rPr>
          <w:t>https://yellowcard.mhra.gov.uk/</w:t>
        </w:r>
      </w:hyperlink>
    </w:p>
    <w:p w14:paraId="27AD840E" w14:textId="77777777" w:rsidR="006D3958" w:rsidRPr="006D3958" w:rsidRDefault="006D3958" w:rsidP="006D3958">
      <w:pPr>
        <w:rPr>
          <w:sz w:val="24"/>
          <w:szCs w:val="24"/>
        </w:rPr>
      </w:pPr>
    </w:p>
    <w:p w14:paraId="6DD8A58B" w14:textId="5A089557" w:rsidR="00D828C5" w:rsidRPr="008A74D4" w:rsidRDefault="00D828C5" w:rsidP="008A74D4">
      <w:pPr>
        <w:pStyle w:val="Heading2"/>
      </w:pPr>
      <w:bookmarkStart w:id="22" w:name="_Toc201564324"/>
      <w:r w:rsidRPr="008A74D4">
        <w:t>Reporting Poor Practice</w:t>
      </w:r>
      <w:bookmarkEnd w:id="22"/>
    </w:p>
    <w:p w14:paraId="2DC8C7F2" w14:textId="5D94B628" w:rsidR="00254E81" w:rsidRDefault="00D828C5" w:rsidP="00254E81">
      <w:pPr>
        <w:rPr>
          <w:sz w:val="24"/>
          <w:szCs w:val="24"/>
        </w:rPr>
      </w:pPr>
      <w:r w:rsidRPr="006B2275">
        <w:rPr>
          <w:sz w:val="24"/>
          <w:szCs w:val="24"/>
        </w:rPr>
        <w:t xml:space="preserve">If you are concerned about an individual or a provider, </w:t>
      </w:r>
      <w:r w:rsidR="00E97D52">
        <w:rPr>
          <w:sz w:val="24"/>
          <w:szCs w:val="24"/>
        </w:rPr>
        <w:t xml:space="preserve">we suggest </w:t>
      </w:r>
      <w:r w:rsidR="00B42630">
        <w:rPr>
          <w:sz w:val="24"/>
          <w:szCs w:val="24"/>
        </w:rPr>
        <w:t xml:space="preserve">that </w:t>
      </w:r>
      <w:r w:rsidR="00E97D52">
        <w:rPr>
          <w:sz w:val="24"/>
          <w:szCs w:val="24"/>
        </w:rPr>
        <w:t xml:space="preserve">you raise this directly with the provider in the first instance. If this is unsuccessful or unsatisfactory, </w:t>
      </w:r>
      <w:r w:rsidRPr="006B2275">
        <w:rPr>
          <w:sz w:val="24"/>
          <w:szCs w:val="24"/>
        </w:rPr>
        <w:t>the</w:t>
      </w:r>
      <w:r w:rsidR="00E97D52">
        <w:rPr>
          <w:sz w:val="24"/>
          <w:szCs w:val="24"/>
        </w:rPr>
        <w:t xml:space="preserve"> concerns </w:t>
      </w:r>
      <w:r w:rsidRPr="006B2275">
        <w:rPr>
          <w:sz w:val="24"/>
          <w:szCs w:val="24"/>
        </w:rPr>
        <w:t>should be reported directly to the relevant regulatory and professional bodies.</w:t>
      </w:r>
    </w:p>
    <w:p w14:paraId="5BBF9B11" w14:textId="27C561B0" w:rsidR="00E97D52" w:rsidRPr="006B2275" w:rsidRDefault="00E97D52" w:rsidP="00254E81">
      <w:pPr>
        <w:rPr>
          <w:sz w:val="24"/>
          <w:szCs w:val="24"/>
        </w:rPr>
      </w:pPr>
      <w:r>
        <w:rPr>
          <w:sz w:val="24"/>
          <w:szCs w:val="24"/>
        </w:rPr>
        <w:t>Please provide as much detail as possible to support the complaint. Please do not share patient identifiable information without written consent from the patient.</w:t>
      </w:r>
    </w:p>
    <w:p w14:paraId="4B808EE0" w14:textId="39D78880" w:rsidR="00D828C5" w:rsidRPr="006B2275" w:rsidRDefault="00D828C5" w:rsidP="00254E81">
      <w:pPr>
        <w:rPr>
          <w:sz w:val="24"/>
          <w:szCs w:val="24"/>
        </w:rPr>
      </w:pPr>
      <w:r w:rsidRPr="006B2275">
        <w:rPr>
          <w:sz w:val="24"/>
          <w:szCs w:val="24"/>
        </w:rPr>
        <w:t xml:space="preserve">Doctors - GMC - </w:t>
      </w:r>
      <w:hyperlink r:id="rId39" w:history="1">
        <w:r w:rsidRPr="006B2275">
          <w:rPr>
            <w:rStyle w:val="Hyperlink"/>
            <w:sz w:val="24"/>
            <w:szCs w:val="24"/>
          </w:rPr>
          <w:t>https://www.gmc-uk.org/concerns</w:t>
        </w:r>
      </w:hyperlink>
    </w:p>
    <w:p w14:paraId="4C31CA3B" w14:textId="6F5FC851" w:rsidR="00D828C5" w:rsidRPr="006B2275" w:rsidRDefault="00D828C5" w:rsidP="00254E81">
      <w:pPr>
        <w:rPr>
          <w:sz w:val="24"/>
          <w:szCs w:val="24"/>
        </w:rPr>
      </w:pPr>
      <w:r w:rsidRPr="006B2275">
        <w:rPr>
          <w:sz w:val="24"/>
          <w:szCs w:val="24"/>
        </w:rPr>
        <w:t xml:space="preserve">Nurses - NMC - </w:t>
      </w:r>
      <w:hyperlink r:id="rId40" w:history="1">
        <w:r w:rsidRPr="006B2275">
          <w:rPr>
            <w:rStyle w:val="Hyperlink"/>
            <w:sz w:val="24"/>
            <w:szCs w:val="24"/>
          </w:rPr>
          <w:t>https://www.nmc.org.uk/concerns-nurses-midwives/raise-a-concern/</w:t>
        </w:r>
      </w:hyperlink>
    </w:p>
    <w:p w14:paraId="3FE0FBC7" w14:textId="2899D930" w:rsidR="00254E81" w:rsidRDefault="00D828C5" w:rsidP="00254E81">
      <w:pPr>
        <w:rPr>
          <w:sz w:val="24"/>
          <w:szCs w:val="24"/>
        </w:rPr>
      </w:pPr>
      <w:r w:rsidRPr="006B2275">
        <w:rPr>
          <w:sz w:val="24"/>
          <w:szCs w:val="24"/>
        </w:rPr>
        <w:t xml:space="preserve">Pharmacists AND Pharmacies (business/premises) - GPhC - </w:t>
      </w:r>
      <w:hyperlink r:id="rId41" w:history="1">
        <w:r w:rsidRPr="006B2275">
          <w:rPr>
            <w:rStyle w:val="Hyperlink"/>
            <w:sz w:val="24"/>
            <w:szCs w:val="24"/>
          </w:rPr>
          <w:t>https://www.pharmacyregulation.org/patients-and-public/reporting-concerns</w:t>
        </w:r>
      </w:hyperlink>
    </w:p>
    <w:p w14:paraId="6E0A5880" w14:textId="69760692" w:rsidR="006B2275" w:rsidRDefault="006B2275" w:rsidP="00254E81">
      <w:pPr>
        <w:rPr>
          <w:sz w:val="24"/>
          <w:szCs w:val="24"/>
        </w:rPr>
      </w:pPr>
      <w:r>
        <w:rPr>
          <w:sz w:val="24"/>
          <w:szCs w:val="24"/>
        </w:rPr>
        <w:t xml:space="preserve">Health and Care Professionals Council – (Allied Health Professionals) - </w:t>
      </w:r>
      <w:hyperlink r:id="rId42" w:history="1">
        <w:r w:rsidRPr="00331EF2">
          <w:rPr>
            <w:rStyle w:val="Hyperlink"/>
            <w:sz w:val="24"/>
            <w:szCs w:val="24"/>
          </w:rPr>
          <w:t>https://www.hcpc-uk.org/concerns/raising-concerns/</w:t>
        </w:r>
      </w:hyperlink>
    </w:p>
    <w:p w14:paraId="4C8AF46D" w14:textId="38AACEA9" w:rsidR="006B2275" w:rsidRDefault="00D828C5" w:rsidP="00254E81">
      <w:pPr>
        <w:rPr>
          <w:sz w:val="24"/>
          <w:szCs w:val="24"/>
        </w:rPr>
      </w:pPr>
      <w:r w:rsidRPr="006B2275">
        <w:rPr>
          <w:sz w:val="24"/>
          <w:szCs w:val="24"/>
        </w:rPr>
        <w:t xml:space="preserve">Healthcare providers – (including concerns about unregulated providers) - </w:t>
      </w:r>
      <w:hyperlink r:id="rId43" w:history="1">
        <w:r w:rsidRPr="006B2275">
          <w:rPr>
            <w:rStyle w:val="Hyperlink"/>
            <w:sz w:val="24"/>
            <w:szCs w:val="24"/>
          </w:rPr>
          <w:t>https://www.cqc.org.uk/contact-us/report-concern/report-concern-if-you-are-member-public</w:t>
        </w:r>
      </w:hyperlink>
    </w:p>
    <w:p w14:paraId="3497B087" w14:textId="613F07A0" w:rsidR="00E97D52" w:rsidRPr="006B2275" w:rsidRDefault="00E97D52" w:rsidP="00E97D52">
      <w:pPr>
        <w:rPr>
          <w:sz w:val="24"/>
          <w:szCs w:val="24"/>
        </w:rPr>
      </w:pPr>
      <w:r>
        <w:rPr>
          <w:sz w:val="24"/>
          <w:szCs w:val="24"/>
        </w:rPr>
        <w:t>The ICB Pharmacy and Medicines Optimisation Team are happy to support legitimate complaints if the above routes have been tried. Please provide as much detail as possible to support the complaint. Please do not share any patient identifiable information with the ICB without written consent from the patient.</w:t>
      </w:r>
    </w:p>
    <w:p w14:paraId="7ABF209B" w14:textId="3A5BFD04" w:rsidR="006B2275" w:rsidRDefault="006B2275" w:rsidP="006B2275">
      <w:pPr>
        <w:rPr>
          <w:sz w:val="24"/>
          <w:szCs w:val="24"/>
        </w:rPr>
      </w:pPr>
    </w:p>
    <w:p w14:paraId="14E2C9EF" w14:textId="22A5223B" w:rsidR="006B2275" w:rsidRPr="008A74D4" w:rsidRDefault="006B2275" w:rsidP="008A74D4">
      <w:pPr>
        <w:pStyle w:val="Heading2"/>
      </w:pPr>
      <w:bookmarkStart w:id="23" w:name="_Toc201564325"/>
      <w:r w:rsidRPr="008A74D4">
        <w:t>Counterfeit and Fake Medicines</w:t>
      </w:r>
      <w:bookmarkEnd w:id="23"/>
    </w:p>
    <w:p w14:paraId="434BE912" w14:textId="1473AD83" w:rsidR="006B2275" w:rsidRPr="006B2275" w:rsidRDefault="006B2275" w:rsidP="006B2275">
      <w:pPr>
        <w:pStyle w:val="ListParagraph"/>
        <w:numPr>
          <w:ilvl w:val="0"/>
          <w:numId w:val="6"/>
        </w:numPr>
        <w:rPr>
          <w:sz w:val="24"/>
          <w:szCs w:val="24"/>
        </w:rPr>
      </w:pPr>
      <w:hyperlink r:id="rId44" w:history="1">
        <w:r w:rsidRPr="006B2275">
          <w:rPr>
            <w:rStyle w:val="Hyperlink"/>
            <w:sz w:val="24"/>
            <w:szCs w:val="24"/>
          </w:rPr>
          <w:t>Visit the #FakeMeds website</w:t>
        </w:r>
      </w:hyperlink>
      <w:r w:rsidRPr="006B2275">
        <w:rPr>
          <w:sz w:val="24"/>
          <w:szCs w:val="24"/>
        </w:rPr>
        <w:t> for tools and resources to help people purchase medicines or medical devices safely online.</w:t>
      </w:r>
    </w:p>
    <w:p w14:paraId="76E0BDC5" w14:textId="5FE7BAFC" w:rsidR="006B2275" w:rsidRDefault="006B2275" w:rsidP="00254E81">
      <w:pPr>
        <w:rPr>
          <w:sz w:val="24"/>
          <w:szCs w:val="24"/>
        </w:rPr>
      </w:pPr>
      <w:hyperlink r:id="rId45" w:history="1">
        <w:r w:rsidRPr="00331EF2">
          <w:rPr>
            <w:rStyle w:val="Hyperlink"/>
            <w:sz w:val="24"/>
            <w:szCs w:val="24"/>
          </w:rPr>
          <w:t>https://fakemeds.campaign.gov.uk/</w:t>
        </w:r>
      </w:hyperlink>
    </w:p>
    <w:p w14:paraId="23628C3D" w14:textId="457D5C4B" w:rsidR="006B2275" w:rsidRPr="006B2275" w:rsidRDefault="006B2275" w:rsidP="006B2275">
      <w:pPr>
        <w:pStyle w:val="ListParagraph"/>
        <w:numPr>
          <w:ilvl w:val="0"/>
          <w:numId w:val="6"/>
        </w:numPr>
        <w:rPr>
          <w:sz w:val="24"/>
          <w:szCs w:val="24"/>
        </w:rPr>
      </w:pPr>
      <w:r w:rsidRPr="006B2275">
        <w:rPr>
          <w:sz w:val="24"/>
          <w:szCs w:val="24"/>
        </w:rPr>
        <w:t>Anyone who suspects that their product is fake is encouraged to report it directly to the Yellow Card scheme, through the website (</w:t>
      </w:r>
      <w:hyperlink r:id="rId46" w:history="1">
        <w:r w:rsidRPr="006B2275">
          <w:rPr>
            <w:rStyle w:val="Hyperlink"/>
            <w:sz w:val="24"/>
            <w:szCs w:val="24"/>
          </w:rPr>
          <w:t>https://yellowcard.mhra.gov.uk/</w:t>
        </w:r>
      </w:hyperlink>
      <w:r w:rsidRPr="006B2275">
        <w:rPr>
          <w:sz w:val="24"/>
          <w:szCs w:val="24"/>
        </w:rPr>
        <w:t>) or by searching the Google Play or Apple App stores for MHRA Yellow Card. </w:t>
      </w:r>
    </w:p>
    <w:p w14:paraId="228472E6" w14:textId="1B39B0D7" w:rsidR="006B2275" w:rsidRPr="006B2275" w:rsidRDefault="006B2275" w:rsidP="006B2275">
      <w:pPr>
        <w:pStyle w:val="ListParagraph"/>
        <w:numPr>
          <w:ilvl w:val="0"/>
          <w:numId w:val="6"/>
        </w:numPr>
        <w:rPr>
          <w:sz w:val="24"/>
          <w:szCs w:val="24"/>
        </w:rPr>
      </w:pPr>
      <w:r w:rsidRPr="006B2275">
        <w:rPr>
          <w:sz w:val="24"/>
          <w:szCs w:val="24"/>
        </w:rPr>
        <w:t xml:space="preserve">The MHRA Criminal Enforcement Unit investigates illegal medicine supply. You can report concerns via the </w:t>
      </w:r>
      <w:hyperlink r:id="rId47" w:history="1">
        <w:r w:rsidRPr="006B2275">
          <w:rPr>
            <w:rStyle w:val="Hyperlink"/>
            <w:sz w:val="24"/>
            <w:szCs w:val="24"/>
          </w:rPr>
          <w:t>MHRA Yellow Card Scheme</w:t>
        </w:r>
      </w:hyperlink>
      <w:r w:rsidRPr="006B2275">
        <w:rPr>
          <w:sz w:val="24"/>
          <w:szCs w:val="24"/>
        </w:rPr>
        <w:t>.</w:t>
      </w:r>
    </w:p>
    <w:p w14:paraId="4E389987" w14:textId="77777777" w:rsidR="006B2275" w:rsidRPr="006B2275" w:rsidRDefault="006B2275" w:rsidP="006B2275">
      <w:pPr>
        <w:pStyle w:val="ListParagraph"/>
        <w:numPr>
          <w:ilvl w:val="0"/>
          <w:numId w:val="6"/>
        </w:numPr>
        <w:rPr>
          <w:sz w:val="24"/>
          <w:szCs w:val="24"/>
        </w:rPr>
      </w:pPr>
      <w:r w:rsidRPr="006B2275">
        <w:rPr>
          <w:sz w:val="24"/>
          <w:szCs w:val="24"/>
        </w:rPr>
        <w:t>UK Law Enforcement</w:t>
      </w:r>
    </w:p>
    <w:p w14:paraId="48CE8228" w14:textId="77777777" w:rsidR="006B2275" w:rsidRDefault="006B2275" w:rsidP="006B2275">
      <w:pPr>
        <w:pStyle w:val="ListParagraph"/>
        <w:numPr>
          <w:ilvl w:val="1"/>
          <w:numId w:val="7"/>
        </w:numPr>
        <w:rPr>
          <w:sz w:val="24"/>
          <w:szCs w:val="24"/>
        </w:rPr>
      </w:pPr>
      <w:r w:rsidRPr="006B2275">
        <w:rPr>
          <w:sz w:val="24"/>
          <w:szCs w:val="24"/>
        </w:rPr>
        <w:t>Police: If you suspect criminal activity, report it to your local police or call 101 (non-emergency) / 999 (emergency).</w:t>
      </w:r>
    </w:p>
    <w:p w14:paraId="37C14998" w14:textId="51E13C2E" w:rsidR="006B2275" w:rsidRPr="006B2275" w:rsidRDefault="006B2275" w:rsidP="006B2275">
      <w:pPr>
        <w:pStyle w:val="ListParagraph"/>
        <w:numPr>
          <w:ilvl w:val="1"/>
          <w:numId w:val="7"/>
        </w:numPr>
        <w:rPr>
          <w:sz w:val="24"/>
          <w:szCs w:val="24"/>
        </w:rPr>
      </w:pPr>
      <w:r w:rsidRPr="006B2275">
        <w:rPr>
          <w:sz w:val="24"/>
          <w:szCs w:val="24"/>
        </w:rPr>
        <w:t xml:space="preserve">Crimestoppers: Report anonymously via </w:t>
      </w:r>
      <w:hyperlink r:id="rId48" w:history="1">
        <w:r w:rsidRPr="006B2275">
          <w:rPr>
            <w:rStyle w:val="Hyperlink"/>
            <w:sz w:val="24"/>
            <w:szCs w:val="24"/>
          </w:rPr>
          <w:t>Crimestoppers UK</w:t>
        </w:r>
      </w:hyperlink>
      <w:r w:rsidRPr="006B2275">
        <w:rPr>
          <w:sz w:val="24"/>
          <w:szCs w:val="24"/>
        </w:rPr>
        <w:t>.</w:t>
      </w:r>
    </w:p>
    <w:p w14:paraId="0D313100" w14:textId="7B4801A4" w:rsidR="006B2275" w:rsidRPr="006B2275" w:rsidRDefault="006B2275" w:rsidP="006B2275">
      <w:pPr>
        <w:pStyle w:val="ListParagraph"/>
        <w:numPr>
          <w:ilvl w:val="0"/>
          <w:numId w:val="7"/>
        </w:numPr>
        <w:rPr>
          <w:sz w:val="24"/>
          <w:szCs w:val="24"/>
        </w:rPr>
      </w:pPr>
      <w:r w:rsidRPr="006B2275">
        <w:rPr>
          <w:sz w:val="24"/>
          <w:szCs w:val="24"/>
        </w:rPr>
        <w:t>NHS England &amp; Local Authorities</w:t>
      </w:r>
    </w:p>
    <w:p w14:paraId="15802E38" w14:textId="77777777" w:rsidR="006B2275" w:rsidRDefault="006B2275" w:rsidP="006B2275">
      <w:pPr>
        <w:pStyle w:val="ListParagraph"/>
        <w:numPr>
          <w:ilvl w:val="1"/>
          <w:numId w:val="7"/>
        </w:numPr>
        <w:rPr>
          <w:sz w:val="24"/>
          <w:szCs w:val="24"/>
        </w:rPr>
      </w:pPr>
      <w:r w:rsidRPr="006B2275">
        <w:rPr>
          <w:sz w:val="24"/>
          <w:szCs w:val="24"/>
        </w:rPr>
        <w:t>NHS Counter Fraud Authority investigates fraudulent medicine supply.</w:t>
      </w:r>
    </w:p>
    <w:p w14:paraId="0EDDE5B1" w14:textId="029E7F24" w:rsidR="006B2275" w:rsidRPr="006B2275" w:rsidRDefault="006B2275" w:rsidP="006B2275">
      <w:pPr>
        <w:pStyle w:val="ListParagraph"/>
        <w:numPr>
          <w:ilvl w:val="1"/>
          <w:numId w:val="7"/>
        </w:numPr>
        <w:rPr>
          <w:sz w:val="24"/>
          <w:szCs w:val="24"/>
        </w:rPr>
      </w:pPr>
      <w:r w:rsidRPr="006B2275">
        <w:rPr>
          <w:sz w:val="24"/>
          <w:szCs w:val="24"/>
        </w:rPr>
        <w:t>Local Trading Standards can act against illegal medicine sales.</w:t>
      </w:r>
    </w:p>
    <w:p w14:paraId="7720FD26" w14:textId="77777777" w:rsidR="00D828C5" w:rsidRDefault="00D828C5" w:rsidP="00254E81">
      <w:pPr>
        <w:rPr>
          <w:b/>
          <w:bCs/>
          <w:sz w:val="24"/>
          <w:szCs w:val="24"/>
        </w:rPr>
      </w:pPr>
    </w:p>
    <w:p w14:paraId="25AFE168" w14:textId="13A07D0D" w:rsidR="006B2275" w:rsidRPr="008A74D4" w:rsidRDefault="006B2275" w:rsidP="008A74D4">
      <w:pPr>
        <w:pStyle w:val="Heading2"/>
      </w:pPr>
      <w:bookmarkStart w:id="24" w:name="_Toc201564326"/>
      <w:r w:rsidRPr="008A74D4">
        <w:t>Promoting</w:t>
      </w:r>
      <w:r w:rsidR="00B42630" w:rsidRPr="008A74D4">
        <w:t>/Advertising</w:t>
      </w:r>
      <w:r w:rsidRPr="008A74D4">
        <w:t xml:space="preserve"> Prescription Only Medicines (POMs)</w:t>
      </w:r>
      <w:bookmarkEnd w:id="24"/>
    </w:p>
    <w:p w14:paraId="43DDA462" w14:textId="5D86E7DA" w:rsidR="006B2275" w:rsidRPr="00E97D52" w:rsidRDefault="006B2275" w:rsidP="00E97D52">
      <w:pPr>
        <w:pStyle w:val="ListParagraph"/>
        <w:numPr>
          <w:ilvl w:val="0"/>
          <w:numId w:val="16"/>
        </w:numPr>
        <w:rPr>
          <w:sz w:val="24"/>
          <w:szCs w:val="24"/>
        </w:rPr>
      </w:pPr>
      <w:r w:rsidRPr="00E97D52">
        <w:rPr>
          <w:sz w:val="24"/>
          <w:szCs w:val="24"/>
        </w:rPr>
        <w:t xml:space="preserve">Human Medicines Regulations 2012: It is illegal to promote the prescription, supply, sale, or use of POMs to the </w:t>
      </w:r>
      <w:proofErr w:type="gramStart"/>
      <w:r w:rsidRPr="00E97D52">
        <w:rPr>
          <w:sz w:val="24"/>
          <w:szCs w:val="24"/>
        </w:rPr>
        <w:t>general public</w:t>
      </w:r>
      <w:proofErr w:type="gramEnd"/>
      <w:r w:rsidRPr="00E97D52">
        <w:rPr>
          <w:sz w:val="24"/>
          <w:szCs w:val="24"/>
        </w:rPr>
        <w:t>.</w:t>
      </w:r>
    </w:p>
    <w:p w14:paraId="28F81726" w14:textId="77777777" w:rsidR="006B2275" w:rsidRPr="00E97D52" w:rsidRDefault="006B2275" w:rsidP="00E97D52">
      <w:pPr>
        <w:pStyle w:val="ListParagraph"/>
        <w:numPr>
          <w:ilvl w:val="0"/>
          <w:numId w:val="16"/>
        </w:numPr>
        <w:rPr>
          <w:sz w:val="24"/>
          <w:szCs w:val="24"/>
        </w:rPr>
      </w:pPr>
      <w:r w:rsidRPr="00E97D52">
        <w:rPr>
          <w:sz w:val="24"/>
          <w:szCs w:val="24"/>
        </w:rPr>
        <w:t>MHRA Advertising Guidance: POMs can only be promoted to healthcare professionals who are qualified to prescribe or supply them.</w:t>
      </w:r>
    </w:p>
    <w:p w14:paraId="509CD496" w14:textId="4D96A699" w:rsidR="006B2275" w:rsidRPr="00E97D52" w:rsidRDefault="00E97D52" w:rsidP="00E97D52">
      <w:pPr>
        <w:pStyle w:val="ListParagraph"/>
        <w:numPr>
          <w:ilvl w:val="0"/>
          <w:numId w:val="16"/>
        </w:numPr>
        <w:rPr>
          <w:sz w:val="24"/>
          <w:szCs w:val="24"/>
        </w:rPr>
      </w:pPr>
      <w:r w:rsidRPr="00E97D52">
        <w:rPr>
          <w:sz w:val="24"/>
          <w:szCs w:val="24"/>
        </w:rPr>
        <w:t xml:space="preserve">The Advertising Standards Authority (ASA) is the UK’s independent regulator of advertising across all media. We apply the Advertising Codes, which are written by the Committees of Advertising Practice (CAP). </w:t>
      </w:r>
      <w:r w:rsidR="006B2275" w:rsidRPr="00E97D52">
        <w:rPr>
          <w:sz w:val="24"/>
          <w:szCs w:val="24"/>
        </w:rPr>
        <w:t>ASA &amp; CAP Code: Rule 12.12 explicitly prohibits advertising POMs to the public in any form, including websites and social media.</w:t>
      </w:r>
    </w:p>
    <w:p w14:paraId="0A1CDDC8" w14:textId="28CF7764" w:rsidR="006B2275" w:rsidRDefault="006B2275" w:rsidP="006B2275">
      <w:pPr>
        <w:rPr>
          <w:sz w:val="24"/>
          <w:szCs w:val="24"/>
        </w:rPr>
      </w:pPr>
      <w:hyperlink r:id="rId49" w:history="1">
        <w:r w:rsidRPr="00331EF2">
          <w:rPr>
            <w:rStyle w:val="Hyperlink"/>
            <w:sz w:val="24"/>
            <w:szCs w:val="24"/>
          </w:rPr>
          <w:t>https://www.asa.org.uk/news/prescription-for-compliance-poms-and-the-code.html</w:t>
        </w:r>
      </w:hyperlink>
    </w:p>
    <w:p w14:paraId="19A4B8C4" w14:textId="77777777" w:rsidR="00E97D52" w:rsidRDefault="006B2275" w:rsidP="006B2275">
      <w:pPr>
        <w:pStyle w:val="ListParagraph"/>
        <w:numPr>
          <w:ilvl w:val="0"/>
          <w:numId w:val="17"/>
        </w:numPr>
        <w:rPr>
          <w:sz w:val="24"/>
          <w:szCs w:val="24"/>
        </w:rPr>
      </w:pPr>
      <w:r w:rsidRPr="00E97D52">
        <w:rPr>
          <w:sz w:val="24"/>
          <w:szCs w:val="24"/>
        </w:rPr>
        <w:t>Healthcare providers can promote consultations for conditions that may require POMs, but not the medicines themselves.</w:t>
      </w:r>
    </w:p>
    <w:p w14:paraId="389623F5" w14:textId="4D282F20" w:rsidR="006B2275" w:rsidRPr="00E97D52" w:rsidRDefault="006B2275" w:rsidP="006B2275">
      <w:pPr>
        <w:pStyle w:val="ListParagraph"/>
        <w:numPr>
          <w:ilvl w:val="0"/>
          <w:numId w:val="17"/>
        </w:numPr>
        <w:rPr>
          <w:sz w:val="24"/>
          <w:szCs w:val="24"/>
        </w:rPr>
      </w:pPr>
      <w:r w:rsidRPr="00E97D52">
        <w:rPr>
          <w:sz w:val="24"/>
          <w:szCs w:val="24"/>
        </w:rPr>
        <w:t>Pharmaceutical companies can provide educational materials to healthcare professionals but must avoid direct-to-consumer advertising.</w:t>
      </w:r>
    </w:p>
    <w:p w14:paraId="29A0968E" w14:textId="7E15E6DE" w:rsidR="006B2275" w:rsidRPr="00E97D52" w:rsidRDefault="00E97D52" w:rsidP="00254E81">
      <w:pPr>
        <w:rPr>
          <w:sz w:val="24"/>
          <w:szCs w:val="24"/>
        </w:rPr>
      </w:pPr>
      <w:hyperlink r:id="rId50" w:history="1">
        <w:r w:rsidRPr="00331EF2">
          <w:rPr>
            <w:rStyle w:val="Hyperlink"/>
            <w:sz w:val="24"/>
            <w:szCs w:val="24"/>
          </w:rPr>
          <w:t>https://www.gov.uk/government/publications/blue-guide-advertising-and-promoting-medicines</w:t>
        </w:r>
      </w:hyperlink>
    </w:p>
    <w:p w14:paraId="7D4CA965" w14:textId="093BEE4A" w:rsidR="00E97D52" w:rsidRDefault="00E97D52" w:rsidP="00254E81">
      <w:pPr>
        <w:rPr>
          <w:sz w:val="24"/>
          <w:szCs w:val="24"/>
        </w:rPr>
      </w:pPr>
      <w:hyperlink r:id="rId51" w:history="1">
        <w:r w:rsidRPr="00E97D52">
          <w:rPr>
            <w:rStyle w:val="Hyperlink"/>
            <w:sz w:val="24"/>
            <w:szCs w:val="24"/>
          </w:rPr>
          <w:t>https://assets.publishing.service.gov.uk/media/6012d8c9d3bf7f05c2040b4e/Appendix_6.pdf</w:t>
        </w:r>
      </w:hyperlink>
    </w:p>
    <w:p w14:paraId="627B5CD5" w14:textId="77777777" w:rsidR="00561F1F" w:rsidRPr="00561F1F" w:rsidRDefault="00561F1F" w:rsidP="00561F1F">
      <w:pPr>
        <w:pStyle w:val="ListParagraph"/>
        <w:numPr>
          <w:ilvl w:val="0"/>
          <w:numId w:val="19"/>
        </w:numPr>
        <w:rPr>
          <w:sz w:val="24"/>
          <w:szCs w:val="24"/>
        </w:rPr>
      </w:pPr>
      <w:r w:rsidRPr="00561F1F">
        <w:rPr>
          <w:sz w:val="24"/>
          <w:szCs w:val="24"/>
        </w:rPr>
        <w:t xml:space="preserve">The Advertising Standards Agency (ASA) has issued a warning to businesses and individuals who are targeting members of the public with ads for weight loss prescription-only medicines: </w:t>
      </w:r>
      <w:hyperlink r:id="rId52" w:history="1">
        <w:r w:rsidRPr="00561F1F">
          <w:rPr>
            <w:rStyle w:val="Hyperlink"/>
            <w:sz w:val="24"/>
            <w:szCs w:val="24"/>
          </w:rPr>
          <w:t>https://www.asa.org.uk/news/trim-down-your-weight-loss-medicine-ads-doctor-s-orders.html</w:t>
        </w:r>
      </w:hyperlink>
      <w:r w:rsidRPr="00561F1F">
        <w:rPr>
          <w:sz w:val="24"/>
          <w:szCs w:val="24"/>
        </w:rPr>
        <w:t xml:space="preserve">. </w:t>
      </w:r>
    </w:p>
    <w:p w14:paraId="4966BAFC" w14:textId="1A344658" w:rsidR="00561F1F" w:rsidRPr="00561F1F" w:rsidRDefault="00561F1F" w:rsidP="00561F1F">
      <w:pPr>
        <w:pStyle w:val="ListParagraph"/>
        <w:numPr>
          <w:ilvl w:val="0"/>
          <w:numId w:val="19"/>
        </w:numPr>
        <w:rPr>
          <w:sz w:val="24"/>
          <w:szCs w:val="24"/>
        </w:rPr>
      </w:pPr>
      <w:r w:rsidRPr="00561F1F">
        <w:rPr>
          <w:sz w:val="24"/>
          <w:szCs w:val="24"/>
        </w:rPr>
        <w:lastRenderedPageBreak/>
        <w:t>ASA has launched a cross-organisational project whereby it will monitor, investigate and issue enforcement action to tackle non-compliance.</w:t>
      </w:r>
    </w:p>
    <w:p w14:paraId="7AAB4B5E" w14:textId="020188F4" w:rsidR="00E97D52" w:rsidRPr="00E97D52" w:rsidRDefault="00E97D52" w:rsidP="00E97D52">
      <w:pPr>
        <w:pStyle w:val="ListParagraph"/>
        <w:numPr>
          <w:ilvl w:val="0"/>
          <w:numId w:val="18"/>
        </w:numPr>
        <w:rPr>
          <w:sz w:val="24"/>
          <w:szCs w:val="24"/>
        </w:rPr>
      </w:pPr>
      <w:r w:rsidRPr="00E97D52">
        <w:rPr>
          <w:sz w:val="24"/>
          <w:szCs w:val="24"/>
        </w:rPr>
        <w:t>If you see advertising of POMs that does not meet the MHRA guidance</w:t>
      </w:r>
      <w:r>
        <w:rPr>
          <w:sz w:val="24"/>
          <w:szCs w:val="24"/>
        </w:rPr>
        <w:t>,</w:t>
      </w:r>
      <w:r w:rsidRPr="00E97D52">
        <w:rPr>
          <w:sz w:val="24"/>
          <w:szCs w:val="24"/>
        </w:rPr>
        <w:t xml:space="preserve"> it can be reported to both ASA and MHRA:</w:t>
      </w:r>
    </w:p>
    <w:p w14:paraId="3BF46A19" w14:textId="4B7CD7E4" w:rsidR="00E97D52" w:rsidRPr="00E97D52" w:rsidRDefault="00E97D52" w:rsidP="00254E81">
      <w:pPr>
        <w:rPr>
          <w:sz w:val="24"/>
          <w:szCs w:val="24"/>
        </w:rPr>
      </w:pPr>
      <w:hyperlink r:id="rId53" w:anchor="complain-about-an-advert" w:history="1">
        <w:r w:rsidRPr="00E97D52">
          <w:rPr>
            <w:rStyle w:val="Hyperlink"/>
            <w:sz w:val="24"/>
            <w:szCs w:val="24"/>
          </w:rPr>
          <w:t>https://www.gov.uk/guidance/advertise-your-medicines#complain-about-an-advert</w:t>
        </w:r>
      </w:hyperlink>
    </w:p>
    <w:p w14:paraId="7789687D" w14:textId="03037D36" w:rsidR="00E97D52" w:rsidRPr="00E97D52" w:rsidRDefault="00E97D52" w:rsidP="00254E81">
      <w:pPr>
        <w:rPr>
          <w:sz w:val="24"/>
          <w:szCs w:val="24"/>
        </w:rPr>
      </w:pPr>
      <w:hyperlink r:id="rId54" w:history="1">
        <w:r w:rsidRPr="00E97D52">
          <w:rPr>
            <w:rStyle w:val="Hyperlink"/>
            <w:sz w:val="24"/>
            <w:szCs w:val="24"/>
          </w:rPr>
          <w:t>https://www.asa.org.uk/make-a-complaint.html</w:t>
        </w:r>
      </w:hyperlink>
    </w:p>
    <w:p w14:paraId="4B5B0924" w14:textId="37A77545" w:rsidR="008F445A" w:rsidRDefault="001B4077" w:rsidP="008F445A">
      <w:pPr>
        <w:pStyle w:val="Heading2"/>
      </w:pPr>
      <w:bookmarkStart w:id="25" w:name="_Toc201564327"/>
      <w:r>
        <w:t>------------------------</w:t>
      </w:r>
      <w:bookmarkEnd w:id="0"/>
      <w:r>
        <w:t>------------</w:t>
      </w:r>
      <w:bookmarkEnd w:id="25"/>
    </w:p>
    <w:sectPr w:rsidR="008F445A" w:rsidSect="001302E3">
      <w:head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4502" w14:textId="77777777" w:rsidR="007853DA" w:rsidRDefault="007853DA" w:rsidP="007853DA">
      <w:pPr>
        <w:spacing w:after="0" w:line="240" w:lineRule="auto"/>
      </w:pPr>
      <w:r>
        <w:separator/>
      </w:r>
    </w:p>
  </w:endnote>
  <w:endnote w:type="continuationSeparator" w:id="0">
    <w:p w14:paraId="2B1C6C17" w14:textId="77777777" w:rsidR="007853DA" w:rsidRDefault="007853DA" w:rsidP="0078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949C" w14:textId="77777777" w:rsidR="007853DA" w:rsidRDefault="007853DA" w:rsidP="007853DA">
      <w:pPr>
        <w:spacing w:after="0" w:line="240" w:lineRule="auto"/>
      </w:pPr>
      <w:r>
        <w:separator/>
      </w:r>
    </w:p>
  </w:footnote>
  <w:footnote w:type="continuationSeparator" w:id="0">
    <w:p w14:paraId="72354240" w14:textId="77777777" w:rsidR="007853DA" w:rsidRDefault="007853DA" w:rsidP="0078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FF9" w14:textId="6F1A56EB" w:rsidR="007853DA" w:rsidRDefault="007853DA">
    <w:pPr>
      <w:pStyle w:val="Header"/>
    </w:pPr>
    <w:r w:rsidRPr="00EC13F4">
      <w:rPr>
        <w:noProof/>
        <w:lang w:eastAsia="en-GB"/>
      </w:rPr>
      <w:drawing>
        <wp:anchor distT="0" distB="0" distL="114300" distR="114300" simplePos="0" relativeHeight="251658752" behindDoc="1" locked="0" layoutInCell="1" allowOverlap="1" wp14:anchorId="60856157" wp14:editId="41008D20">
          <wp:simplePos x="0" y="0"/>
          <wp:positionH relativeFrom="column">
            <wp:posOffset>5055870</wp:posOffset>
          </wp:positionH>
          <wp:positionV relativeFrom="paragraph">
            <wp:posOffset>-282575</wp:posOffset>
          </wp:positionV>
          <wp:extent cx="1259840" cy="766445"/>
          <wp:effectExtent l="0" t="0" r="0" b="0"/>
          <wp:wrapTight wrapText="bothSides">
            <wp:wrapPolygon edited="0">
              <wp:start x="0" y="0"/>
              <wp:lineTo x="0" y="20938"/>
              <wp:lineTo x="21230" y="20938"/>
              <wp:lineTo x="21230" y="0"/>
              <wp:lineTo x="0" y="0"/>
            </wp:wrapPolygon>
          </wp:wrapTight>
          <wp:docPr id="18" name="Picture 1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9840" cy="766445"/>
                  </a:xfrm>
                  <a:prstGeom prst="rect">
                    <a:avLst/>
                  </a:prstGeom>
                </pic:spPr>
              </pic:pic>
            </a:graphicData>
          </a:graphic>
        </wp:anchor>
      </w:drawing>
    </w:r>
    <w:r w:rsidRPr="00EC13F4">
      <w:rPr>
        <w:noProof/>
        <w:lang w:eastAsia="en-GB"/>
      </w:rPr>
      <w:drawing>
        <wp:anchor distT="0" distB="0" distL="114300" distR="114300" simplePos="0" relativeHeight="251657728" behindDoc="1" locked="0" layoutInCell="1" allowOverlap="1" wp14:anchorId="59A99EB6" wp14:editId="21B8608D">
          <wp:simplePos x="0" y="0"/>
          <wp:positionH relativeFrom="column">
            <wp:posOffset>-830580</wp:posOffset>
          </wp:positionH>
          <wp:positionV relativeFrom="paragraph">
            <wp:posOffset>-23495</wp:posOffset>
          </wp:positionV>
          <wp:extent cx="2209800" cy="466725"/>
          <wp:effectExtent l="0" t="0" r="0" b="9525"/>
          <wp:wrapTight wrapText="bothSides">
            <wp:wrapPolygon edited="0">
              <wp:start x="0" y="0"/>
              <wp:lineTo x="0" y="21159"/>
              <wp:lineTo x="21414" y="21159"/>
              <wp:lineTo x="21414" y="0"/>
              <wp:lineTo x="0" y="0"/>
            </wp:wrapPolygon>
          </wp:wrapTight>
          <wp:docPr id="21" name="Picture 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logo&#10;&#10;AI-generated content may be incorrect."/>
                  <pic:cNvPicPr/>
                </pic:nvPicPr>
                <pic:blipFill rotWithShape="1">
                  <a:blip r:embed="rId2">
                    <a:extLst>
                      <a:ext uri="{28A0092B-C50C-407E-A947-70E740481C1C}">
                        <a14:useLocalDpi xmlns:a14="http://schemas.microsoft.com/office/drawing/2010/main" val="0"/>
                      </a:ext>
                    </a:extLst>
                  </a:blip>
                  <a:srcRect l="6384" t="23001" r="11348" b="28000"/>
                  <a:stretch/>
                </pic:blipFill>
                <pic:spPr bwMode="auto">
                  <a:xfrm>
                    <a:off x="0" y="0"/>
                    <a:ext cx="22098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4F1"/>
    <w:multiLevelType w:val="multilevel"/>
    <w:tmpl w:val="7DF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85822"/>
    <w:multiLevelType w:val="multilevel"/>
    <w:tmpl w:val="9C2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00E48"/>
    <w:multiLevelType w:val="multilevel"/>
    <w:tmpl w:val="0BAC0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B6531"/>
    <w:multiLevelType w:val="multilevel"/>
    <w:tmpl w:val="C742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A1995"/>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217F"/>
    <w:multiLevelType w:val="hybridMultilevel"/>
    <w:tmpl w:val="54B29E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16D8F"/>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C2438"/>
    <w:multiLevelType w:val="multilevel"/>
    <w:tmpl w:val="660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C4E77"/>
    <w:multiLevelType w:val="multilevel"/>
    <w:tmpl w:val="E71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D49AC"/>
    <w:multiLevelType w:val="multilevel"/>
    <w:tmpl w:val="0B0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64527"/>
    <w:multiLevelType w:val="hybridMultilevel"/>
    <w:tmpl w:val="3B965E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A56FD"/>
    <w:multiLevelType w:val="multilevel"/>
    <w:tmpl w:val="C9D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9A12A6"/>
    <w:multiLevelType w:val="multilevel"/>
    <w:tmpl w:val="44C2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02B38"/>
    <w:multiLevelType w:val="hybridMultilevel"/>
    <w:tmpl w:val="D9401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F6C53"/>
    <w:multiLevelType w:val="multilevel"/>
    <w:tmpl w:val="782ED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C46C0"/>
    <w:multiLevelType w:val="multilevel"/>
    <w:tmpl w:val="1310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31424"/>
    <w:multiLevelType w:val="hybridMultilevel"/>
    <w:tmpl w:val="470E55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D3A2D"/>
    <w:multiLevelType w:val="multilevel"/>
    <w:tmpl w:val="035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A183E"/>
    <w:multiLevelType w:val="multilevel"/>
    <w:tmpl w:val="7FD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946624"/>
    <w:multiLevelType w:val="multilevel"/>
    <w:tmpl w:val="7400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D1EA6"/>
    <w:multiLevelType w:val="hybridMultilevel"/>
    <w:tmpl w:val="4D60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90DF6"/>
    <w:multiLevelType w:val="multilevel"/>
    <w:tmpl w:val="910C01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94456"/>
    <w:multiLevelType w:val="multilevel"/>
    <w:tmpl w:val="9D32F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20FF8"/>
    <w:multiLevelType w:val="multilevel"/>
    <w:tmpl w:val="9DC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D0F04"/>
    <w:multiLevelType w:val="multilevel"/>
    <w:tmpl w:val="997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22A3C"/>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F03AD"/>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25A6F"/>
    <w:multiLevelType w:val="hybridMultilevel"/>
    <w:tmpl w:val="DC74CF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57587A"/>
    <w:multiLevelType w:val="multilevel"/>
    <w:tmpl w:val="136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731B8F"/>
    <w:multiLevelType w:val="hybridMultilevel"/>
    <w:tmpl w:val="0CF4380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8C18AD"/>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60C41"/>
    <w:multiLevelType w:val="multilevel"/>
    <w:tmpl w:val="39D4F4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5307B"/>
    <w:multiLevelType w:val="multilevel"/>
    <w:tmpl w:val="5A08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F64DA6"/>
    <w:multiLevelType w:val="hybridMultilevel"/>
    <w:tmpl w:val="507C2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B54065"/>
    <w:multiLevelType w:val="hybridMultilevel"/>
    <w:tmpl w:val="E194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241878">
    <w:abstractNumId w:val="27"/>
  </w:num>
  <w:num w:numId="2" w16cid:durableId="1577134374">
    <w:abstractNumId w:val="3"/>
  </w:num>
  <w:num w:numId="3" w16cid:durableId="1806970926">
    <w:abstractNumId w:val="18"/>
  </w:num>
  <w:num w:numId="4" w16cid:durableId="798257695">
    <w:abstractNumId w:val="7"/>
  </w:num>
  <w:num w:numId="5" w16cid:durableId="307170915">
    <w:abstractNumId w:val="28"/>
  </w:num>
  <w:num w:numId="6" w16cid:durableId="380055923">
    <w:abstractNumId w:val="20"/>
  </w:num>
  <w:num w:numId="7" w16cid:durableId="861168059">
    <w:abstractNumId w:val="4"/>
  </w:num>
  <w:num w:numId="8" w16cid:durableId="1666471305">
    <w:abstractNumId w:val="5"/>
  </w:num>
  <w:num w:numId="9" w16cid:durableId="1424372516">
    <w:abstractNumId w:val="24"/>
  </w:num>
  <w:num w:numId="10" w16cid:durableId="954211814">
    <w:abstractNumId w:val="33"/>
  </w:num>
  <w:num w:numId="11" w16cid:durableId="1391030904">
    <w:abstractNumId w:val="23"/>
  </w:num>
  <w:num w:numId="12" w16cid:durableId="919801207">
    <w:abstractNumId w:val="17"/>
  </w:num>
  <w:num w:numId="13" w16cid:durableId="1752238665">
    <w:abstractNumId w:val="19"/>
  </w:num>
  <w:num w:numId="14" w16cid:durableId="1340081509">
    <w:abstractNumId w:val="32"/>
  </w:num>
  <w:num w:numId="15" w16cid:durableId="267197697">
    <w:abstractNumId w:val="9"/>
  </w:num>
  <w:num w:numId="16" w16cid:durableId="452946229">
    <w:abstractNumId w:val="30"/>
  </w:num>
  <w:num w:numId="17" w16cid:durableId="1924991375">
    <w:abstractNumId w:val="26"/>
  </w:num>
  <w:num w:numId="18" w16cid:durableId="1185707214">
    <w:abstractNumId w:val="25"/>
  </w:num>
  <w:num w:numId="19" w16cid:durableId="774642768">
    <w:abstractNumId w:val="31"/>
  </w:num>
  <w:num w:numId="20" w16cid:durableId="1322194585">
    <w:abstractNumId w:val="6"/>
  </w:num>
  <w:num w:numId="21" w16cid:durableId="1743914781">
    <w:abstractNumId w:val="29"/>
  </w:num>
  <w:num w:numId="22" w16cid:durableId="1320622785">
    <w:abstractNumId w:val="10"/>
  </w:num>
  <w:num w:numId="23" w16cid:durableId="1069499210">
    <w:abstractNumId w:val="0"/>
  </w:num>
  <w:num w:numId="24" w16cid:durableId="269705860">
    <w:abstractNumId w:val="8"/>
  </w:num>
  <w:num w:numId="25" w16cid:durableId="1923566209">
    <w:abstractNumId w:val="2"/>
  </w:num>
  <w:num w:numId="26" w16cid:durableId="1404062731">
    <w:abstractNumId w:val="34"/>
  </w:num>
  <w:num w:numId="27" w16cid:durableId="1646811957">
    <w:abstractNumId w:val="1"/>
  </w:num>
  <w:num w:numId="28" w16cid:durableId="1634212563">
    <w:abstractNumId w:val="22"/>
  </w:num>
  <w:num w:numId="29" w16cid:durableId="512498567">
    <w:abstractNumId w:val="12"/>
  </w:num>
  <w:num w:numId="30" w16cid:durableId="629288683">
    <w:abstractNumId w:val="15"/>
  </w:num>
  <w:num w:numId="31" w16cid:durableId="1106073180">
    <w:abstractNumId w:val="11"/>
  </w:num>
  <w:num w:numId="32" w16cid:durableId="1691684204">
    <w:abstractNumId w:val="16"/>
  </w:num>
  <w:num w:numId="33" w16cid:durableId="1606572140">
    <w:abstractNumId w:val="13"/>
  </w:num>
  <w:num w:numId="34" w16cid:durableId="273948226">
    <w:abstractNumId w:val="21"/>
  </w:num>
  <w:num w:numId="35" w16cid:durableId="1864588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3A"/>
    <w:rsid w:val="00043D22"/>
    <w:rsid w:val="000841F6"/>
    <w:rsid w:val="000B30CE"/>
    <w:rsid w:val="000C5C6E"/>
    <w:rsid w:val="000C6BD7"/>
    <w:rsid w:val="000E62C0"/>
    <w:rsid w:val="00104206"/>
    <w:rsid w:val="001302E3"/>
    <w:rsid w:val="001B4077"/>
    <w:rsid w:val="001C47BE"/>
    <w:rsid w:val="00254E81"/>
    <w:rsid w:val="00287C40"/>
    <w:rsid w:val="002B26A6"/>
    <w:rsid w:val="002F7C1E"/>
    <w:rsid w:val="00304738"/>
    <w:rsid w:val="003F4E63"/>
    <w:rsid w:val="00412E76"/>
    <w:rsid w:val="00483530"/>
    <w:rsid w:val="004B0BCE"/>
    <w:rsid w:val="004C150C"/>
    <w:rsid w:val="00561F1F"/>
    <w:rsid w:val="005879F6"/>
    <w:rsid w:val="005957FB"/>
    <w:rsid w:val="005B1BE2"/>
    <w:rsid w:val="005C2395"/>
    <w:rsid w:val="006028E4"/>
    <w:rsid w:val="00651E54"/>
    <w:rsid w:val="006B2275"/>
    <w:rsid w:val="006D3958"/>
    <w:rsid w:val="006E0A46"/>
    <w:rsid w:val="0071478A"/>
    <w:rsid w:val="00716C5B"/>
    <w:rsid w:val="00752BCC"/>
    <w:rsid w:val="0077020F"/>
    <w:rsid w:val="007853DA"/>
    <w:rsid w:val="00797B78"/>
    <w:rsid w:val="007F74D7"/>
    <w:rsid w:val="00815E0D"/>
    <w:rsid w:val="008454E6"/>
    <w:rsid w:val="008A74D4"/>
    <w:rsid w:val="008F1E58"/>
    <w:rsid w:val="008F445A"/>
    <w:rsid w:val="009766FA"/>
    <w:rsid w:val="009B5476"/>
    <w:rsid w:val="009C45D4"/>
    <w:rsid w:val="00A55130"/>
    <w:rsid w:val="00AB3663"/>
    <w:rsid w:val="00AB6FFD"/>
    <w:rsid w:val="00AC1876"/>
    <w:rsid w:val="00B37420"/>
    <w:rsid w:val="00B42630"/>
    <w:rsid w:val="00B842DE"/>
    <w:rsid w:val="00B865B0"/>
    <w:rsid w:val="00BE2220"/>
    <w:rsid w:val="00C00647"/>
    <w:rsid w:val="00C8178B"/>
    <w:rsid w:val="00D00E63"/>
    <w:rsid w:val="00D828C5"/>
    <w:rsid w:val="00D9177B"/>
    <w:rsid w:val="00DC4DAA"/>
    <w:rsid w:val="00DE6361"/>
    <w:rsid w:val="00E4763A"/>
    <w:rsid w:val="00E5239D"/>
    <w:rsid w:val="00E97D52"/>
    <w:rsid w:val="00EB193E"/>
    <w:rsid w:val="00EC478B"/>
    <w:rsid w:val="00EE6E5F"/>
    <w:rsid w:val="00F91308"/>
    <w:rsid w:val="00F96229"/>
    <w:rsid w:val="00FB263C"/>
    <w:rsid w:val="00FF2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B059"/>
  <w15:chartTrackingRefBased/>
  <w15:docId w15:val="{8B456E25-F5AF-4EC7-A7E4-D7273C95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76"/>
  </w:style>
  <w:style w:type="paragraph" w:styleId="Heading1">
    <w:name w:val="heading 1"/>
    <w:basedOn w:val="Normal"/>
    <w:next w:val="Normal"/>
    <w:link w:val="Heading1Char"/>
    <w:uiPriority w:val="9"/>
    <w:qFormat/>
    <w:rsid w:val="00E47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7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7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7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7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63A"/>
    <w:rPr>
      <w:rFonts w:eastAsiaTheme="majorEastAsia" w:cstheme="majorBidi"/>
      <w:color w:val="272727" w:themeColor="text1" w:themeTint="D8"/>
    </w:rPr>
  </w:style>
  <w:style w:type="paragraph" w:styleId="Title">
    <w:name w:val="Title"/>
    <w:basedOn w:val="Normal"/>
    <w:next w:val="Normal"/>
    <w:link w:val="TitleChar"/>
    <w:uiPriority w:val="10"/>
    <w:qFormat/>
    <w:rsid w:val="00E47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63A"/>
    <w:pPr>
      <w:spacing w:before="160"/>
      <w:jc w:val="center"/>
    </w:pPr>
    <w:rPr>
      <w:i/>
      <w:iCs/>
      <w:color w:val="404040" w:themeColor="text1" w:themeTint="BF"/>
    </w:rPr>
  </w:style>
  <w:style w:type="character" w:customStyle="1" w:styleId="QuoteChar">
    <w:name w:val="Quote Char"/>
    <w:basedOn w:val="DefaultParagraphFont"/>
    <w:link w:val="Quote"/>
    <w:uiPriority w:val="29"/>
    <w:rsid w:val="00E4763A"/>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E4763A"/>
    <w:pPr>
      <w:ind w:left="720"/>
      <w:contextualSpacing/>
    </w:pPr>
  </w:style>
  <w:style w:type="character" w:styleId="IntenseEmphasis">
    <w:name w:val="Intense Emphasis"/>
    <w:basedOn w:val="DefaultParagraphFont"/>
    <w:uiPriority w:val="21"/>
    <w:qFormat/>
    <w:rsid w:val="00E4763A"/>
    <w:rPr>
      <w:i/>
      <w:iCs/>
      <w:color w:val="0F4761" w:themeColor="accent1" w:themeShade="BF"/>
    </w:rPr>
  </w:style>
  <w:style w:type="paragraph" w:styleId="IntenseQuote">
    <w:name w:val="Intense Quote"/>
    <w:basedOn w:val="Normal"/>
    <w:next w:val="Normal"/>
    <w:link w:val="IntenseQuoteChar"/>
    <w:uiPriority w:val="30"/>
    <w:qFormat/>
    <w:rsid w:val="00E47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63A"/>
    <w:rPr>
      <w:i/>
      <w:iCs/>
      <w:color w:val="0F4761" w:themeColor="accent1" w:themeShade="BF"/>
    </w:rPr>
  </w:style>
  <w:style w:type="character" w:styleId="IntenseReference">
    <w:name w:val="Intense Reference"/>
    <w:basedOn w:val="DefaultParagraphFont"/>
    <w:uiPriority w:val="32"/>
    <w:qFormat/>
    <w:rsid w:val="00E4763A"/>
    <w:rPr>
      <w:b/>
      <w:bCs/>
      <w:smallCaps/>
      <w:color w:val="0F4761" w:themeColor="accent1" w:themeShade="BF"/>
      <w:spacing w:val="5"/>
    </w:rPr>
  </w:style>
  <w:style w:type="character" w:styleId="Hyperlink">
    <w:name w:val="Hyperlink"/>
    <w:basedOn w:val="DefaultParagraphFont"/>
    <w:uiPriority w:val="99"/>
    <w:unhideWhenUsed/>
    <w:rsid w:val="0077020F"/>
    <w:rPr>
      <w:color w:val="467886" w:themeColor="hyperlink"/>
      <w:u w:val="single"/>
    </w:rPr>
  </w:style>
  <w:style w:type="character" w:styleId="UnresolvedMention">
    <w:name w:val="Unresolved Mention"/>
    <w:basedOn w:val="DefaultParagraphFont"/>
    <w:uiPriority w:val="99"/>
    <w:semiHidden/>
    <w:unhideWhenUsed/>
    <w:rsid w:val="0077020F"/>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FF266F"/>
  </w:style>
  <w:style w:type="character" w:styleId="FollowedHyperlink">
    <w:name w:val="FollowedHyperlink"/>
    <w:basedOn w:val="DefaultParagraphFont"/>
    <w:uiPriority w:val="99"/>
    <w:semiHidden/>
    <w:unhideWhenUsed/>
    <w:rsid w:val="006B2275"/>
    <w:rPr>
      <w:color w:val="96607D" w:themeColor="followedHyperlink"/>
      <w:u w:val="single"/>
    </w:rPr>
  </w:style>
  <w:style w:type="paragraph" w:styleId="TOCHeading">
    <w:name w:val="TOC Heading"/>
    <w:basedOn w:val="Heading1"/>
    <w:next w:val="Normal"/>
    <w:uiPriority w:val="39"/>
    <w:unhideWhenUsed/>
    <w:qFormat/>
    <w:rsid w:val="005957F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957FB"/>
    <w:pPr>
      <w:spacing w:after="100"/>
    </w:pPr>
  </w:style>
  <w:style w:type="paragraph" w:styleId="TOC2">
    <w:name w:val="toc 2"/>
    <w:basedOn w:val="Normal"/>
    <w:next w:val="Normal"/>
    <w:autoRedefine/>
    <w:uiPriority w:val="39"/>
    <w:unhideWhenUsed/>
    <w:rsid w:val="005957FB"/>
    <w:pPr>
      <w:spacing w:after="100"/>
      <w:ind w:left="220"/>
    </w:pPr>
  </w:style>
  <w:style w:type="paragraph" w:styleId="TOC3">
    <w:name w:val="toc 3"/>
    <w:basedOn w:val="Normal"/>
    <w:next w:val="Normal"/>
    <w:autoRedefine/>
    <w:uiPriority w:val="39"/>
    <w:unhideWhenUsed/>
    <w:rsid w:val="005957FB"/>
    <w:pPr>
      <w:spacing w:after="100"/>
      <w:ind w:left="440"/>
    </w:pPr>
  </w:style>
  <w:style w:type="table" w:styleId="TableGrid">
    <w:name w:val="Table Grid"/>
    <w:basedOn w:val="TableNormal"/>
    <w:uiPriority w:val="39"/>
    <w:rsid w:val="008F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178B"/>
    <w:rPr>
      <w:sz w:val="16"/>
      <w:szCs w:val="16"/>
    </w:rPr>
  </w:style>
  <w:style w:type="paragraph" w:styleId="CommentText">
    <w:name w:val="annotation text"/>
    <w:basedOn w:val="Normal"/>
    <w:link w:val="CommentTextChar"/>
    <w:uiPriority w:val="99"/>
    <w:unhideWhenUsed/>
    <w:rsid w:val="00C8178B"/>
    <w:pPr>
      <w:spacing w:line="240" w:lineRule="auto"/>
    </w:pPr>
    <w:rPr>
      <w:sz w:val="20"/>
      <w:szCs w:val="20"/>
    </w:rPr>
  </w:style>
  <w:style w:type="character" w:customStyle="1" w:styleId="CommentTextChar">
    <w:name w:val="Comment Text Char"/>
    <w:basedOn w:val="DefaultParagraphFont"/>
    <w:link w:val="CommentText"/>
    <w:uiPriority w:val="99"/>
    <w:rsid w:val="00C8178B"/>
    <w:rPr>
      <w:sz w:val="20"/>
      <w:szCs w:val="20"/>
    </w:rPr>
  </w:style>
  <w:style w:type="paragraph" w:styleId="CommentSubject">
    <w:name w:val="annotation subject"/>
    <w:basedOn w:val="CommentText"/>
    <w:next w:val="CommentText"/>
    <w:link w:val="CommentSubjectChar"/>
    <w:uiPriority w:val="99"/>
    <w:semiHidden/>
    <w:unhideWhenUsed/>
    <w:rsid w:val="00C8178B"/>
    <w:rPr>
      <w:b/>
      <w:bCs/>
    </w:rPr>
  </w:style>
  <w:style w:type="character" w:customStyle="1" w:styleId="CommentSubjectChar">
    <w:name w:val="Comment Subject Char"/>
    <w:basedOn w:val="CommentTextChar"/>
    <w:link w:val="CommentSubject"/>
    <w:uiPriority w:val="99"/>
    <w:semiHidden/>
    <w:rsid w:val="00C8178B"/>
    <w:rPr>
      <w:b/>
      <w:bCs/>
      <w:sz w:val="20"/>
      <w:szCs w:val="20"/>
    </w:rPr>
  </w:style>
  <w:style w:type="paragraph" w:styleId="NormalWeb">
    <w:name w:val="Normal (Web)"/>
    <w:basedOn w:val="Normal"/>
    <w:uiPriority w:val="99"/>
    <w:semiHidden/>
    <w:unhideWhenUsed/>
    <w:rsid w:val="00B842DE"/>
    <w:rPr>
      <w:rFonts w:ascii="Times New Roman" w:hAnsi="Times New Roman" w:cs="Times New Roman"/>
      <w:sz w:val="24"/>
      <w:szCs w:val="24"/>
    </w:rPr>
  </w:style>
  <w:style w:type="paragraph" w:styleId="NoSpacing">
    <w:name w:val="No Spacing"/>
    <w:uiPriority w:val="1"/>
    <w:qFormat/>
    <w:rsid w:val="005B1BE2"/>
    <w:pPr>
      <w:spacing w:after="0" w:line="240" w:lineRule="auto"/>
    </w:pPr>
  </w:style>
  <w:style w:type="paragraph" w:styleId="Header">
    <w:name w:val="header"/>
    <w:basedOn w:val="Normal"/>
    <w:link w:val="HeaderChar"/>
    <w:uiPriority w:val="99"/>
    <w:unhideWhenUsed/>
    <w:rsid w:val="0078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3DA"/>
  </w:style>
  <w:style w:type="paragraph" w:styleId="Footer">
    <w:name w:val="footer"/>
    <w:basedOn w:val="Normal"/>
    <w:link w:val="FooterChar"/>
    <w:uiPriority w:val="99"/>
    <w:unhideWhenUsed/>
    <w:rsid w:val="0078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895">
      <w:bodyDiv w:val="1"/>
      <w:marLeft w:val="0"/>
      <w:marRight w:val="0"/>
      <w:marTop w:val="0"/>
      <w:marBottom w:val="0"/>
      <w:divBdr>
        <w:top w:val="none" w:sz="0" w:space="0" w:color="auto"/>
        <w:left w:val="none" w:sz="0" w:space="0" w:color="auto"/>
        <w:bottom w:val="none" w:sz="0" w:space="0" w:color="auto"/>
        <w:right w:val="none" w:sz="0" w:space="0" w:color="auto"/>
      </w:divBdr>
      <w:divsChild>
        <w:div w:id="2004777712">
          <w:marLeft w:val="0"/>
          <w:marRight w:val="0"/>
          <w:marTop w:val="0"/>
          <w:marBottom w:val="0"/>
          <w:divBdr>
            <w:top w:val="none" w:sz="0" w:space="0" w:color="auto"/>
            <w:left w:val="none" w:sz="0" w:space="0" w:color="auto"/>
            <w:bottom w:val="none" w:sz="0" w:space="0" w:color="auto"/>
            <w:right w:val="none" w:sz="0" w:space="0" w:color="auto"/>
          </w:divBdr>
        </w:div>
      </w:divsChild>
    </w:div>
    <w:div w:id="46076395">
      <w:bodyDiv w:val="1"/>
      <w:marLeft w:val="0"/>
      <w:marRight w:val="0"/>
      <w:marTop w:val="0"/>
      <w:marBottom w:val="0"/>
      <w:divBdr>
        <w:top w:val="none" w:sz="0" w:space="0" w:color="auto"/>
        <w:left w:val="none" w:sz="0" w:space="0" w:color="auto"/>
        <w:bottom w:val="none" w:sz="0" w:space="0" w:color="auto"/>
        <w:right w:val="none" w:sz="0" w:space="0" w:color="auto"/>
      </w:divBdr>
    </w:div>
    <w:div w:id="57940278">
      <w:bodyDiv w:val="1"/>
      <w:marLeft w:val="0"/>
      <w:marRight w:val="0"/>
      <w:marTop w:val="0"/>
      <w:marBottom w:val="0"/>
      <w:divBdr>
        <w:top w:val="none" w:sz="0" w:space="0" w:color="auto"/>
        <w:left w:val="none" w:sz="0" w:space="0" w:color="auto"/>
        <w:bottom w:val="none" w:sz="0" w:space="0" w:color="auto"/>
        <w:right w:val="none" w:sz="0" w:space="0" w:color="auto"/>
      </w:divBdr>
    </w:div>
    <w:div w:id="164325935">
      <w:bodyDiv w:val="1"/>
      <w:marLeft w:val="0"/>
      <w:marRight w:val="0"/>
      <w:marTop w:val="0"/>
      <w:marBottom w:val="0"/>
      <w:divBdr>
        <w:top w:val="none" w:sz="0" w:space="0" w:color="auto"/>
        <w:left w:val="none" w:sz="0" w:space="0" w:color="auto"/>
        <w:bottom w:val="none" w:sz="0" w:space="0" w:color="auto"/>
        <w:right w:val="none" w:sz="0" w:space="0" w:color="auto"/>
      </w:divBdr>
    </w:div>
    <w:div w:id="299306844">
      <w:bodyDiv w:val="1"/>
      <w:marLeft w:val="0"/>
      <w:marRight w:val="0"/>
      <w:marTop w:val="0"/>
      <w:marBottom w:val="0"/>
      <w:divBdr>
        <w:top w:val="none" w:sz="0" w:space="0" w:color="auto"/>
        <w:left w:val="none" w:sz="0" w:space="0" w:color="auto"/>
        <w:bottom w:val="none" w:sz="0" w:space="0" w:color="auto"/>
        <w:right w:val="none" w:sz="0" w:space="0" w:color="auto"/>
      </w:divBdr>
    </w:div>
    <w:div w:id="399837519">
      <w:bodyDiv w:val="1"/>
      <w:marLeft w:val="0"/>
      <w:marRight w:val="0"/>
      <w:marTop w:val="0"/>
      <w:marBottom w:val="0"/>
      <w:divBdr>
        <w:top w:val="none" w:sz="0" w:space="0" w:color="auto"/>
        <w:left w:val="none" w:sz="0" w:space="0" w:color="auto"/>
        <w:bottom w:val="none" w:sz="0" w:space="0" w:color="auto"/>
        <w:right w:val="none" w:sz="0" w:space="0" w:color="auto"/>
      </w:divBdr>
      <w:divsChild>
        <w:div w:id="1546336543">
          <w:marLeft w:val="0"/>
          <w:marRight w:val="0"/>
          <w:marTop w:val="0"/>
          <w:marBottom w:val="0"/>
          <w:divBdr>
            <w:top w:val="none" w:sz="0" w:space="0" w:color="auto"/>
            <w:left w:val="none" w:sz="0" w:space="0" w:color="auto"/>
            <w:bottom w:val="none" w:sz="0" w:space="0" w:color="auto"/>
            <w:right w:val="none" w:sz="0" w:space="0" w:color="auto"/>
          </w:divBdr>
          <w:divsChild>
            <w:div w:id="1700810269">
              <w:marLeft w:val="0"/>
              <w:marRight w:val="0"/>
              <w:marTop w:val="0"/>
              <w:marBottom w:val="0"/>
              <w:divBdr>
                <w:top w:val="none" w:sz="0" w:space="0" w:color="auto"/>
                <w:left w:val="none" w:sz="0" w:space="0" w:color="auto"/>
                <w:bottom w:val="none" w:sz="0" w:space="0" w:color="auto"/>
                <w:right w:val="none" w:sz="0" w:space="0" w:color="auto"/>
              </w:divBdr>
            </w:div>
          </w:divsChild>
        </w:div>
        <w:div w:id="1986469097">
          <w:marLeft w:val="0"/>
          <w:marRight w:val="0"/>
          <w:marTop w:val="0"/>
          <w:marBottom w:val="0"/>
          <w:divBdr>
            <w:top w:val="none" w:sz="0" w:space="0" w:color="auto"/>
            <w:left w:val="none" w:sz="0" w:space="0" w:color="auto"/>
            <w:bottom w:val="none" w:sz="0" w:space="0" w:color="auto"/>
            <w:right w:val="none" w:sz="0" w:space="0" w:color="auto"/>
          </w:divBdr>
        </w:div>
      </w:divsChild>
    </w:div>
    <w:div w:id="471214770">
      <w:bodyDiv w:val="1"/>
      <w:marLeft w:val="0"/>
      <w:marRight w:val="0"/>
      <w:marTop w:val="0"/>
      <w:marBottom w:val="0"/>
      <w:divBdr>
        <w:top w:val="none" w:sz="0" w:space="0" w:color="auto"/>
        <w:left w:val="none" w:sz="0" w:space="0" w:color="auto"/>
        <w:bottom w:val="none" w:sz="0" w:space="0" w:color="auto"/>
        <w:right w:val="none" w:sz="0" w:space="0" w:color="auto"/>
      </w:divBdr>
    </w:div>
    <w:div w:id="486748990">
      <w:bodyDiv w:val="1"/>
      <w:marLeft w:val="0"/>
      <w:marRight w:val="0"/>
      <w:marTop w:val="0"/>
      <w:marBottom w:val="0"/>
      <w:divBdr>
        <w:top w:val="none" w:sz="0" w:space="0" w:color="auto"/>
        <w:left w:val="none" w:sz="0" w:space="0" w:color="auto"/>
        <w:bottom w:val="none" w:sz="0" w:space="0" w:color="auto"/>
        <w:right w:val="none" w:sz="0" w:space="0" w:color="auto"/>
      </w:divBdr>
    </w:div>
    <w:div w:id="504172001">
      <w:bodyDiv w:val="1"/>
      <w:marLeft w:val="0"/>
      <w:marRight w:val="0"/>
      <w:marTop w:val="0"/>
      <w:marBottom w:val="0"/>
      <w:divBdr>
        <w:top w:val="none" w:sz="0" w:space="0" w:color="auto"/>
        <w:left w:val="none" w:sz="0" w:space="0" w:color="auto"/>
        <w:bottom w:val="none" w:sz="0" w:space="0" w:color="auto"/>
        <w:right w:val="none" w:sz="0" w:space="0" w:color="auto"/>
      </w:divBdr>
    </w:div>
    <w:div w:id="525758703">
      <w:bodyDiv w:val="1"/>
      <w:marLeft w:val="0"/>
      <w:marRight w:val="0"/>
      <w:marTop w:val="0"/>
      <w:marBottom w:val="0"/>
      <w:divBdr>
        <w:top w:val="none" w:sz="0" w:space="0" w:color="auto"/>
        <w:left w:val="none" w:sz="0" w:space="0" w:color="auto"/>
        <w:bottom w:val="none" w:sz="0" w:space="0" w:color="auto"/>
        <w:right w:val="none" w:sz="0" w:space="0" w:color="auto"/>
      </w:divBdr>
    </w:div>
    <w:div w:id="567692219">
      <w:bodyDiv w:val="1"/>
      <w:marLeft w:val="0"/>
      <w:marRight w:val="0"/>
      <w:marTop w:val="0"/>
      <w:marBottom w:val="0"/>
      <w:divBdr>
        <w:top w:val="none" w:sz="0" w:space="0" w:color="auto"/>
        <w:left w:val="none" w:sz="0" w:space="0" w:color="auto"/>
        <w:bottom w:val="none" w:sz="0" w:space="0" w:color="auto"/>
        <w:right w:val="none" w:sz="0" w:space="0" w:color="auto"/>
      </w:divBdr>
    </w:div>
    <w:div w:id="638876095">
      <w:bodyDiv w:val="1"/>
      <w:marLeft w:val="0"/>
      <w:marRight w:val="0"/>
      <w:marTop w:val="0"/>
      <w:marBottom w:val="0"/>
      <w:divBdr>
        <w:top w:val="none" w:sz="0" w:space="0" w:color="auto"/>
        <w:left w:val="none" w:sz="0" w:space="0" w:color="auto"/>
        <w:bottom w:val="none" w:sz="0" w:space="0" w:color="auto"/>
        <w:right w:val="none" w:sz="0" w:space="0" w:color="auto"/>
      </w:divBdr>
      <w:divsChild>
        <w:div w:id="61802084">
          <w:marLeft w:val="0"/>
          <w:marRight w:val="0"/>
          <w:marTop w:val="0"/>
          <w:marBottom w:val="0"/>
          <w:divBdr>
            <w:top w:val="none" w:sz="0" w:space="0" w:color="auto"/>
            <w:left w:val="none" w:sz="0" w:space="0" w:color="auto"/>
            <w:bottom w:val="none" w:sz="0" w:space="0" w:color="auto"/>
            <w:right w:val="none" w:sz="0" w:space="0" w:color="auto"/>
          </w:divBdr>
          <w:divsChild>
            <w:div w:id="988171806">
              <w:marLeft w:val="0"/>
              <w:marRight w:val="0"/>
              <w:marTop w:val="0"/>
              <w:marBottom w:val="0"/>
              <w:divBdr>
                <w:top w:val="none" w:sz="0" w:space="0" w:color="auto"/>
                <w:left w:val="none" w:sz="0" w:space="0" w:color="auto"/>
                <w:bottom w:val="none" w:sz="0" w:space="0" w:color="auto"/>
                <w:right w:val="none" w:sz="0" w:space="0" w:color="auto"/>
              </w:divBdr>
            </w:div>
          </w:divsChild>
        </w:div>
        <w:div w:id="1119107120">
          <w:marLeft w:val="0"/>
          <w:marRight w:val="0"/>
          <w:marTop w:val="0"/>
          <w:marBottom w:val="0"/>
          <w:divBdr>
            <w:top w:val="none" w:sz="0" w:space="0" w:color="auto"/>
            <w:left w:val="none" w:sz="0" w:space="0" w:color="auto"/>
            <w:bottom w:val="none" w:sz="0" w:space="0" w:color="auto"/>
            <w:right w:val="none" w:sz="0" w:space="0" w:color="auto"/>
          </w:divBdr>
        </w:div>
      </w:divsChild>
    </w:div>
    <w:div w:id="769162837">
      <w:bodyDiv w:val="1"/>
      <w:marLeft w:val="0"/>
      <w:marRight w:val="0"/>
      <w:marTop w:val="0"/>
      <w:marBottom w:val="0"/>
      <w:divBdr>
        <w:top w:val="none" w:sz="0" w:space="0" w:color="auto"/>
        <w:left w:val="none" w:sz="0" w:space="0" w:color="auto"/>
        <w:bottom w:val="none" w:sz="0" w:space="0" w:color="auto"/>
        <w:right w:val="none" w:sz="0" w:space="0" w:color="auto"/>
      </w:divBdr>
      <w:divsChild>
        <w:div w:id="1140615747">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71110216">
      <w:bodyDiv w:val="1"/>
      <w:marLeft w:val="0"/>
      <w:marRight w:val="0"/>
      <w:marTop w:val="0"/>
      <w:marBottom w:val="0"/>
      <w:divBdr>
        <w:top w:val="none" w:sz="0" w:space="0" w:color="auto"/>
        <w:left w:val="none" w:sz="0" w:space="0" w:color="auto"/>
        <w:bottom w:val="none" w:sz="0" w:space="0" w:color="auto"/>
        <w:right w:val="none" w:sz="0" w:space="0" w:color="auto"/>
      </w:divBdr>
    </w:div>
    <w:div w:id="936016684">
      <w:bodyDiv w:val="1"/>
      <w:marLeft w:val="0"/>
      <w:marRight w:val="0"/>
      <w:marTop w:val="0"/>
      <w:marBottom w:val="0"/>
      <w:divBdr>
        <w:top w:val="none" w:sz="0" w:space="0" w:color="auto"/>
        <w:left w:val="none" w:sz="0" w:space="0" w:color="auto"/>
        <w:bottom w:val="none" w:sz="0" w:space="0" w:color="auto"/>
        <w:right w:val="none" w:sz="0" w:space="0" w:color="auto"/>
      </w:divBdr>
      <w:divsChild>
        <w:div w:id="1212838031">
          <w:marLeft w:val="0"/>
          <w:marRight w:val="0"/>
          <w:marTop w:val="0"/>
          <w:marBottom w:val="0"/>
          <w:divBdr>
            <w:top w:val="none" w:sz="0" w:space="0" w:color="auto"/>
            <w:left w:val="none" w:sz="0" w:space="0" w:color="auto"/>
            <w:bottom w:val="none" w:sz="0" w:space="0" w:color="auto"/>
            <w:right w:val="none" w:sz="0" w:space="0" w:color="auto"/>
          </w:divBdr>
        </w:div>
      </w:divsChild>
    </w:div>
    <w:div w:id="1010107327">
      <w:bodyDiv w:val="1"/>
      <w:marLeft w:val="0"/>
      <w:marRight w:val="0"/>
      <w:marTop w:val="0"/>
      <w:marBottom w:val="0"/>
      <w:divBdr>
        <w:top w:val="none" w:sz="0" w:space="0" w:color="auto"/>
        <w:left w:val="none" w:sz="0" w:space="0" w:color="auto"/>
        <w:bottom w:val="none" w:sz="0" w:space="0" w:color="auto"/>
        <w:right w:val="none" w:sz="0" w:space="0" w:color="auto"/>
      </w:divBdr>
    </w:div>
    <w:div w:id="1085884043">
      <w:bodyDiv w:val="1"/>
      <w:marLeft w:val="0"/>
      <w:marRight w:val="0"/>
      <w:marTop w:val="0"/>
      <w:marBottom w:val="0"/>
      <w:divBdr>
        <w:top w:val="none" w:sz="0" w:space="0" w:color="auto"/>
        <w:left w:val="none" w:sz="0" w:space="0" w:color="auto"/>
        <w:bottom w:val="none" w:sz="0" w:space="0" w:color="auto"/>
        <w:right w:val="none" w:sz="0" w:space="0" w:color="auto"/>
      </w:divBdr>
    </w:div>
    <w:div w:id="1143042142">
      <w:bodyDiv w:val="1"/>
      <w:marLeft w:val="0"/>
      <w:marRight w:val="0"/>
      <w:marTop w:val="0"/>
      <w:marBottom w:val="0"/>
      <w:divBdr>
        <w:top w:val="none" w:sz="0" w:space="0" w:color="auto"/>
        <w:left w:val="none" w:sz="0" w:space="0" w:color="auto"/>
        <w:bottom w:val="none" w:sz="0" w:space="0" w:color="auto"/>
        <w:right w:val="none" w:sz="0" w:space="0" w:color="auto"/>
      </w:divBdr>
    </w:div>
    <w:div w:id="1461342646">
      <w:bodyDiv w:val="1"/>
      <w:marLeft w:val="0"/>
      <w:marRight w:val="0"/>
      <w:marTop w:val="0"/>
      <w:marBottom w:val="0"/>
      <w:divBdr>
        <w:top w:val="none" w:sz="0" w:space="0" w:color="auto"/>
        <w:left w:val="none" w:sz="0" w:space="0" w:color="auto"/>
        <w:bottom w:val="none" w:sz="0" w:space="0" w:color="auto"/>
        <w:right w:val="none" w:sz="0" w:space="0" w:color="auto"/>
      </w:divBdr>
    </w:div>
    <w:div w:id="1532649859">
      <w:bodyDiv w:val="1"/>
      <w:marLeft w:val="0"/>
      <w:marRight w:val="0"/>
      <w:marTop w:val="0"/>
      <w:marBottom w:val="0"/>
      <w:divBdr>
        <w:top w:val="none" w:sz="0" w:space="0" w:color="auto"/>
        <w:left w:val="none" w:sz="0" w:space="0" w:color="auto"/>
        <w:bottom w:val="none" w:sz="0" w:space="0" w:color="auto"/>
        <w:right w:val="none" w:sz="0" w:space="0" w:color="auto"/>
      </w:divBdr>
    </w:div>
    <w:div w:id="1581980573">
      <w:bodyDiv w:val="1"/>
      <w:marLeft w:val="0"/>
      <w:marRight w:val="0"/>
      <w:marTop w:val="0"/>
      <w:marBottom w:val="0"/>
      <w:divBdr>
        <w:top w:val="none" w:sz="0" w:space="0" w:color="auto"/>
        <w:left w:val="none" w:sz="0" w:space="0" w:color="auto"/>
        <w:bottom w:val="none" w:sz="0" w:space="0" w:color="auto"/>
        <w:right w:val="none" w:sz="0" w:space="0" w:color="auto"/>
      </w:divBdr>
    </w:div>
    <w:div w:id="1615282995">
      <w:bodyDiv w:val="1"/>
      <w:marLeft w:val="0"/>
      <w:marRight w:val="0"/>
      <w:marTop w:val="0"/>
      <w:marBottom w:val="0"/>
      <w:divBdr>
        <w:top w:val="none" w:sz="0" w:space="0" w:color="auto"/>
        <w:left w:val="none" w:sz="0" w:space="0" w:color="auto"/>
        <w:bottom w:val="none" w:sz="0" w:space="0" w:color="auto"/>
        <w:right w:val="none" w:sz="0" w:space="0" w:color="auto"/>
      </w:divBdr>
    </w:div>
    <w:div w:id="1711956106">
      <w:bodyDiv w:val="1"/>
      <w:marLeft w:val="0"/>
      <w:marRight w:val="0"/>
      <w:marTop w:val="0"/>
      <w:marBottom w:val="0"/>
      <w:divBdr>
        <w:top w:val="none" w:sz="0" w:space="0" w:color="auto"/>
        <w:left w:val="none" w:sz="0" w:space="0" w:color="auto"/>
        <w:bottom w:val="none" w:sz="0" w:space="0" w:color="auto"/>
        <w:right w:val="none" w:sz="0" w:space="0" w:color="auto"/>
      </w:divBdr>
    </w:div>
    <w:div w:id="1743872548">
      <w:bodyDiv w:val="1"/>
      <w:marLeft w:val="0"/>
      <w:marRight w:val="0"/>
      <w:marTop w:val="0"/>
      <w:marBottom w:val="0"/>
      <w:divBdr>
        <w:top w:val="none" w:sz="0" w:space="0" w:color="auto"/>
        <w:left w:val="none" w:sz="0" w:space="0" w:color="auto"/>
        <w:bottom w:val="none" w:sz="0" w:space="0" w:color="auto"/>
        <w:right w:val="none" w:sz="0" w:space="0" w:color="auto"/>
      </w:divBdr>
    </w:div>
    <w:div w:id="1886260843">
      <w:bodyDiv w:val="1"/>
      <w:marLeft w:val="0"/>
      <w:marRight w:val="0"/>
      <w:marTop w:val="0"/>
      <w:marBottom w:val="0"/>
      <w:divBdr>
        <w:top w:val="none" w:sz="0" w:space="0" w:color="auto"/>
        <w:left w:val="none" w:sz="0" w:space="0" w:color="auto"/>
        <w:bottom w:val="none" w:sz="0" w:space="0" w:color="auto"/>
        <w:right w:val="none" w:sz="0" w:space="0" w:color="auto"/>
      </w:divBdr>
    </w:div>
    <w:div w:id="1952130473">
      <w:bodyDiv w:val="1"/>
      <w:marLeft w:val="0"/>
      <w:marRight w:val="0"/>
      <w:marTop w:val="0"/>
      <w:marBottom w:val="0"/>
      <w:divBdr>
        <w:top w:val="none" w:sz="0" w:space="0" w:color="auto"/>
        <w:left w:val="none" w:sz="0" w:space="0" w:color="auto"/>
        <w:bottom w:val="none" w:sz="0" w:space="0" w:color="auto"/>
        <w:right w:val="none" w:sz="0" w:space="0" w:color="auto"/>
      </w:divBdr>
    </w:div>
    <w:div w:id="2096242343">
      <w:bodyDiv w:val="1"/>
      <w:marLeft w:val="0"/>
      <w:marRight w:val="0"/>
      <w:marTop w:val="0"/>
      <w:marBottom w:val="0"/>
      <w:divBdr>
        <w:top w:val="none" w:sz="0" w:space="0" w:color="auto"/>
        <w:left w:val="none" w:sz="0" w:space="0" w:color="auto"/>
        <w:bottom w:val="none" w:sz="0" w:space="0" w:color="auto"/>
        <w:right w:val="none" w:sz="0" w:space="0" w:color="auto"/>
      </w:divBdr>
    </w:div>
    <w:div w:id="2140031515">
      <w:bodyDiv w:val="1"/>
      <w:marLeft w:val="0"/>
      <w:marRight w:val="0"/>
      <w:marTop w:val="0"/>
      <w:marBottom w:val="0"/>
      <w:divBdr>
        <w:top w:val="none" w:sz="0" w:space="0" w:color="auto"/>
        <w:left w:val="none" w:sz="0" w:space="0" w:color="auto"/>
        <w:bottom w:val="none" w:sz="0" w:space="0" w:color="auto"/>
        <w:right w:val="none" w:sz="0" w:space="0" w:color="auto"/>
      </w:divBdr>
      <w:divsChild>
        <w:div w:id="1920636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ta1026" TargetMode="External"/><Relationship Id="rId18" Type="http://schemas.openxmlformats.org/officeDocument/2006/relationships/hyperlink" Target="https://www.gov.uk/guidance/find-product-information-about-medicines" TargetMode="External"/><Relationship Id="rId26" Type="http://schemas.openxmlformats.org/officeDocument/2006/relationships/hyperlink" Target="https://www.themdu.com/guidance-and-advice/latest-updates-and-advice/advice-on-disclosing-information-for-patients-weight-loss-medication" TargetMode="External"/><Relationship Id="rId39" Type="http://schemas.openxmlformats.org/officeDocument/2006/relationships/hyperlink" Target="https://www.gmc-uk.org/concerns" TargetMode="External"/><Relationship Id="rId21" Type="http://schemas.openxmlformats.org/officeDocument/2006/relationships/hyperlink" Target="https://bnf.nice.org.uk/drugs/liraglutide/" TargetMode="External"/><Relationship Id="rId34" Type="http://schemas.openxmlformats.org/officeDocument/2006/relationships/hyperlink" Target="https://www.gov.uk/government/publications/glp-1-medicines-for-weight-loss-and-diabetes-what-you-need-to-know/glp-1-medicines-for-weight-loss-and-diabetes-what-you-need-to-know" TargetMode="External"/><Relationship Id="rId42" Type="http://schemas.openxmlformats.org/officeDocument/2006/relationships/hyperlink" Target="https://www.hcpc-uk.org/concerns/raising-concerns/" TargetMode="External"/><Relationship Id="rId47" Type="http://schemas.openxmlformats.org/officeDocument/2006/relationships/hyperlink" Target="https://yellowcard.mhra.gov.uk/" TargetMode="External"/><Relationship Id="rId50" Type="http://schemas.openxmlformats.org/officeDocument/2006/relationships/hyperlink" Target="https://www.gov.uk/government/publications/blue-guide-advertising-and-promoting-medicines"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rlz=1C1GCEA_enGB1139GB1139&amp;cs=0&amp;sca_esv=7448be8be03549f8&amp;q=Marketing+Authorisation+%28MA%29&amp;sa=X&amp;ved=2ahUKEwjl5cnAy_2NAxUIYEEAHZOEAO4QxccNegQIAxAB&amp;mstk=AUtExfAgGQurEPOsk8hq76kfDLt7Em8imcb-3fkLyZzYTFEW-gyljsKFY2xA2PvDPKdQeughkRgrks9dYk5r9tTnSCt-VRPCs1iQqxBTiI1BAvchQ6TAnyO38GBVw_tOVBFc4YA&amp;csui=3" TargetMode="External"/><Relationship Id="rId29" Type="http://schemas.openxmlformats.org/officeDocument/2006/relationships/hyperlink" Target="https://gbr01.safelinks.protection.outlook.com/?url=https%3A%2F%2Fwww.themdu.com%2Fguidance-and-advice%2Flatest-updates-and-advice%2Fadvice-on-disclosing-information-for-patients-weight-loss-medication&amp;data=05%7C02%7Cl.angus%40nhs.net%7C4bd1d99a3d914d63de2d08dda1a9094d%7C37c354b285b047f5b22207b48d774ee3%7C0%7C0%7C638844469561106413%7CUnknown%7CTWFpbGZsb3d8eyJFbXB0eU1hcGkiOnRydWUsIlYiOiIwLjAuMDAwMCIsIlAiOiJXaW4zMiIsIkFOIjoiTWFpbCIsIldUIjoyfQ%3D%3D%7C0%7C%7C%7C&amp;sdata=Ehl%2BOrAKSkwsgTm5fhTrpbPczj3DO6VXBKbxydccaZo%3D&amp;reserved=0" TargetMode="External"/><Relationship Id="rId11" Type="http://schemas.openxmlformats.org/officeDocument/2006/relationships/hyperlink" Target="https://humberandnorthyorkshire.org.uk/wp-content/uploads/2024/02/HNY-Type-2-Diabetes-Algorithm-Final-Approved-by-IPMOC.pdf" TargetMode="External"/><Relationship Id="rId24" Type="http://schemas.openxmlformats.org/officeDocument/2006/relationships/hyperlink" Target="https://gbr01.safelinks.protection.outlook.com/?url=https%3A%2F%2Fresearchbriefings.files.parliament.uk%2Fdocuments%2FCBP-10171%2FCBP-10171.pdf&amp;data=05%7C02%7Cl.angus%40nhs.net%7C4bd1d99a3d914d63de2d08dda1a9094d%7C37c354b285b047f5b22207b48d774ee3%7C0%7C0%7C638844469561047743%7CUnknown%7CTWFpbGZsb3d8eyJFbXB0eU1hcGkiOnRydWUsIlYiOiIwLjAuMDAwMCIsIlAiOiJXaW4zMiIsIkFOIjoiTWFpbCIsIldUIjoyfQ%3D%3D%7C0%7C%7C%7C&amp;sdata=tMxbXEzqEa2ZLAmIJt7fdoYZFJtUc2v77yO1NEGOgYA%3D&amp;reserved=0" TargetMode="External"/><Relationship Id="rId32" Type="http://schemas.openxmlformats.org/officeDocument/2006/relationships/hyperlink" Target="https://gbr01.safelinks.protection.outlook.com/?url=https%3A%2F%2Fwww.pharmacyregulation.org%2Fpharmacists%2Fstandards-and-guidance-pharmacy-professionals&amp;data=05%7C02%7Cl.angus%40nhs.net%7C4bd1d99a3d914d63de2d08dda1a9094d%7C37c354b285b047f5b22207b48d774ee3%7C0%7C0%7C638844469561211361%7CUnknown%7CTWFpbGZsb3d8eyJFbXB0eU1hcGkiOnRydWUsIlYiOiIwLjAuMDAwMCIsIlAiOiJXaW4zMiIsIkFOIjoiTWFpbCIsIldUIjoyfQ%3D%3D%7C0%7C%7C%7C&amp;sdata=f5z5%2BWWiFOoeF30MoZygJFbXD%2Bygpljd0f%2BNpS0Z4OQ%3D&amp;reserved=0" TargetMode="External"/><Relationship Id="rId37" Type="http://schemas.openxmlformats.org/officeDocument/2006/relationships/hyperlink" Target="https://www.chemistanddruggist.co.uk/news/clinical/exclusive-over-100-uk-deaths-now-linked-to-glp-1-ras-N23DYU55NBEFNIRBJLO4YEEYLA/" TargetMode="External"/><Relationship Id="rId40" Type="http://schemas.openxmlformats.org/officeDocument/2006/relationships/hyperlink" Target="https://www.nmc.org.uk/concerns-nurses-midwives/raise-a-concern/" TargetMode="External"/><Relationship Id="rId45" Type="http://schemas.openxmlformats.org/officeDocument/2006/relationships/hyperlink" Target="https://fakemeds.campaign.gov.uk/" TargetMode="External"/><Relationship Id="rId53" Type="http://schemas.openxmlformats.org/officeDocument/2006/relationships/hyperlink" Target="https://www.gov.uk/guidance/advertise-your-medicines" TargetMode="External"/><Relationship Id="rId5" Type="http://schemas.openxmlformats.org/officeDocument/2006/relationships/webSettings" Target="webSettings.xml"/><Relationship Id="rId19" Type="http://schemas.openxmlformats.org/officeDocument/2006/relationships/hyperlink" Target="https://www.medicines.org.uk/emc/search?q=wegovy" TargetMode="External"/><Relationship Id="rId4" Type="http://schemas.openxmlformats.org/officeDocument/2006/relationships/settings" Target="settings.xml"/><Relationship Id="rId9"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14"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22" Type="http://schemas.openxmlformats.org/officeDocument/2006/relationships/hyperlink" Target="https://bnf.nice.org.uk/drugs/semaglutide/" TargetMode="External"/><Relationship Id="rId27" Type="http://schemas.openxmlformats.org/officeDocument/2006/relationships/hyperlink" Target="https://gbr01.safelinks.protection.outlook.com/?url=https%3A%2F%2Fhumbersidelmc.org.uk%2Fprivate-weight-loss-guidance%2F&amp;data=05%7C02%7Cl.angus%40nhs.net%7C4bd1d99a3d914d63de2d08dda1a9094d%7C37c354b285b047f5b22207b48d774ee3%7C0%7C0%7C638844469561066629%7CUnknown%7CTWFpbGZsb3d8eyJFbXB0eU1hcGkiOnRydWUsIlYiOiIwLjAuMDAwMCIsIlAiOiJXaW4zMiIsIkFOIjoiTWFpbCIsIldUIjoyfQ%3D%3D%7C0%7C%7C%7C&amp;sdata=5KySpiOmygf7EP6JUk4YHUFLfad1pbi4ATkuFNc9tzs%3D&amp;reserved=0" TargetMode="External"/><Relationship Id="rId30" Type="http://schemas.openxmlformats.org/officeDocument/2006/relationships/hyperlink" Target="https://gbr01.safelinks.protection.outlook.com/?url=https%3A%2F%2Fassets.pharmacyregulation.org%2Ffiles%2F2025-02%2Fgphc-guidance-registered-pharmacies-providing-pharmacy-services-distance-february-2025.pdf&amp;data=05%7C02%7Cl.angus%40nhs.net%7C4bd1d99a3d914d63de2d08dda1a9094d%7C37c354b285b047f5b22207b48d774ee3%7C0%7C0%7C638844469561169267%7CUnknown%7CTWFpbGZsb3d8eyJFbXB0eU1hcGkiOnRydWUsIlYiOiIwLjAuMDAwMCIsIlAiOiJXaW4zMiIsIkFOIjoiTWFpbCIsIldUIjoyfQ%3D%3D%7C0%7C%7C%7C&amp;sdata=oOvB6hl8A%2BzUbX3%2BJMCfw4cFM40ju8rqtishen5LVVQ%3D&amp;reserved=0" TargetMode="External"/><Relationship Id="rId35" Type="http://schemas.openxmlformats.org/officeDocument/2006/relationships/hyperlink" Target="https://www.fsrh.org/Public/Public/Documents/FSRH-statement-Glucagon-like-peptide-1-agonists-and-oral-contraception-Feb-2025.aspx" TargetMode="External"/><Relationship Id="rId43" Type="http://schemas.openxmlformats.org/officeDocument/2006/relationships/hyperlink" Target="https://www.cqc.org.uk/contact-us/report-concern/report-concern-if-you-are-member-public" TargetMode="External"/><Relationship Id="rId48" Type="http://schemas.openxmlformats.org/officeDocument/2006/relationships/hyperlink" Target="https://crimestoppers-uk.org/" TargetMode="External"/><Relationship Id="rId56" Type="http://schemas.openxmlformats.org/officeDocument/2006/relationships/fontTable" Target="fontTable.xml"/><Relationship Id="rId8" Type="http://schemas.openxmlformats.org/officeDocument/2006/relationships/hyperlink" Target="https://letsgetbetter.co.uk/weight-management/" TargetMode="External"/><Relationship Id="rId51" Type="http://schemas.openxmlformats.org/officeDocument/2006/relationships/hyperlink" Target="https://assets.publishing.service.gov.uk/media/6012d8c9d3bf7f05c2040b4e/Appendix_6.pdf" TargetMode="External"/><Relationship Id="rId3" Type="http://schemas.openxmlformats.org/officeDocument/2006/relationships/styles" Target="styles.xml"/><Relationship Id="rId12" Type="http://schemas.openxmlformats.org/officeDocument/2006/relationships/hyperlink" Target="https://www.nice.org.uk/guidance/ng246/chapter/Discussing-results-and-referral" TargetMode="External"/><Relationship Id="rId17" Type="http://schemas.openxmlformats.org/officeDocument/2006/relationships/hyperlink" Target="https://www.medicines.org.uk/emc" TargetMode="External"/><Relationship Id="rId25" Type="http://schemas.openxmlformats.org/officeDocument/2006/relationships/hyperlink" Target="https://www.gov.uk/government/publications/glp-1-medicines-for-weight-loss-and-diabetes-what-you-need-to-know" TargetMode="External"/><Relationship Id="rId33" Type="http://schemas.openxmlformats.org/officeDocument/2006/relationships/hyperlink" Target="https://gbr01.safelinks.protection.outlook.com/?url=https%3A%2F%2Fwww.rpharms.com%2FPortals%2F0%2FRPS%2520document%2520library%2FOpen%2520access%2FPrescribing%2520Competency%2520Framework%2FRPS%2520English%2520Competency%2520Framework%25203.pdf%3Fver%3DmctnrKo4YaJDh2nA8N5G3A%253d%253d&amp;data=05%7C02%7Cl.angus%40nhs.net%7C4bd1d99a3d914d63de2d08dda1a9094d%7C37c354b285b047f5b22207b48d774ee3%7C0%7C0%7C638844469561229862%7CUnknown%7CTWFpbGZsb3d8eyJFbXB0eU1hcGkiOnRydWUsIlYiOiIwLjAuMDAwMCIsIlAiOiJXaW4zMiIsIkFOIjoiTWFpbCIsIldUIjoyfQ%3D%3D%7C0%7C%7C%7C&amp;sdata=TRr4sS4PsdrYYU7hhIIw6tEkRVT3YVvg7MwvNaB%2FdS0%3D&amp;reserved=0" TargetMode="External"/><Relationship Id="rId38" Type="http://schemas.openxmlformats.org/officeDocument/2006/relationships/hyperlink" Target="https://yellowcard.mhra.gov.uk/" TargetMode="External"/><Relationship Id="rId46" Type="http://schemas.openxmlformats.org/officeDocument/2006/relationships/hyperlink" Target="https://yellowcard.mhra.gov.uk/" TargetMode="External"/><Relationship Id="rId20" Type="http://schemas.openxmlformats.org/officeDocument/2006/relationships/hyperlink" Target="https://www.medicines.org.uk/emc/search?q=mounjaro" TargetMode="External"/><Relationship Id="rId41" Type="http://schemas.openxmlformats.org/officeDocument/2006/relationships/hyperlink" Target="https://www.pharmacyregulation.org/patients-and-public/reporting-concerns" TargetMode="External"/><Relationship Id="rId54" Type="http://schemas.openxmlformats.org/officeDocument/2006/relationships/hyperlink" Target="https://www.asa.org.uk/make-a-complain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gle.com/search?rlz=1C1GCEA_enGB1139GB1139&amp;cs=0&amp;sca_esv=7448be8be03549f8&amp;q=Medicines+and+Healthcare+products+Regulatory+Agency&amp;sa=X&amp;ved=2ahUKEwjl5cnAy_2NAxUIYEEAHZOEAO4QxccNegQIAhAB&amp;mstk=AUtExfAgGQurEPOsk8hq76kfDLt7Em8imcb-3fkLyZzYTFEW-gyljsKFY2xA2PvDPKdQeughkRgrks9dYk5r9tTnSCt-VRPCs1iQqxBTiI1BAvchQ6TAnyO38GBVw_tOVBFc4YA&amp;csui=3" TargetMode="External"/><Relationship Id="rId23" Type="http://schemas.openxmlformats.org/officeDocument/2006/relationships/hyperlink" Target="https://bnf.nice.org.uk/drugs/tirzepatide/" TargetMode="External"/><Relationship Id="rId28" Type="http://schemas.openxmlformats.org/officeDocument/2006/relationships/hyperlink" Target="https://gbr01.safelinks.protection.outlook.com/?url=https%3A%2F%2Fwww.gmc-uk.org%2Fprofessional-standards%2Fthe-professional-standards%2Fgood-practice-in-prescribing-and-managing-medicines-and-devices&amp;data=05%7C02%7Cl.angus%40nhs.net%7C4bd1d99a3d914d63de2d08dda1a9094d%7C37c354b285b047f5b22207b48d774ee3%7C0%7C0%7C638844469561085604%7CUnknown%7CTWFpbGZsb3d8eyJFbXB0eU1hcGkiOnRydWUsIlYiOiIwLjAuMDAwMCIsIlAiOiJXaW4zMiIsIkFOIjoiTWFpbCIsIldUIjoyfQ%3D%3D%7C0%7C%7C%7C&amp;sdata=Y9PRvZo33NgiTtzw4cq9V3aq4vCrGE9W37RMmSNRa5o%3D&amp;reserved=0" TargetMode="External"/><Relationship Id="rId36" Type="http://schemas.openxmlformats.org/officeDocument/2006/relationships/hyperlink" Target="https://fsrh.org/Common/Uploaded%20files/documents/Patient-information-GLP-1-agonists-and-contraception.pdf?_gl=1*5739r*_ga*Mjc2MzIyMzM5LjE3NDkxMjMyNjU.*_ga_S2TDH89J5C*czE3NDkxMjMyNjUkbzEkZzAkdDE3NDkxMjMyNjUkajYwJGwwJGgw" TargetMode="External"/><Relationship Id="rId49" Type="http://schemas.openxmlformats.org/officeDocument/2006/relationships/hyperlink" Target="https://www.asa.org.uk/news/prescription-for-compliance-poms-and-the-code.html" TargetMode="External"/><Relationship Id="rId57" Type="http://schemas.openxmlformats.org/officeDocument/2006/relationships/theme" Target="theme/theme1.xml"/><Relationship Id="rId10" Type="http://schemas.openxmlformats.org/officeDocument/2006/relationships/hyperlink" Target="https://gbr01.safelinks.protection.outlook.com/?url=https%3A%2F%2Fwww.england.nhs.uk%2Fpublication%2Finterim-commissioning-guidance-implementation-of-the-nice-technology-appraisal-ta1026-and-the-nice-funding-variation-for-tirzepatide-mounjaro-for-the-management-of-obesity%2F&amp;data=05%7C02%7Cl.angus%40nhs.net%7C6428d72741f9450871df08ddaf1a358e%7C37c354b285b047f5b22207b48d774ee3%7C0%7C0%7C638859249293685899%7CUnknown%7CTWFpbGZsb3d8eyJFbXB0eU1hcGkiOnRydWUsIlYiOiIwLjAuMDAwMCIsIlAiOiJXaW4zMiIsIkFOIjoiTWFpbCIsIldUIjoyfQ%3D%3D%7C0%7C%7C%7C&amp;sdata=BTaH%2FsXI1kjwomOwW2qOWwS%2F0igj48HSl3Qn8bzLrPk%3D&amp;reserved=0" TargetMode="External"/><Relationship Id="rId31" Type="http://schemas.openxmlformats.org/officeDocument/2006/relationships/hyperlink" Target="https://gbr01.safelinks.protection.outlook.com/?url=https%3A%2F%2Fwww.pharmacyregulation.org%2Fpharmacies%2Fstandards-and-guidance-registered-pharmacies&amp;data=05%7C02%7Cl.angus%40nhs.net%7C4bd1d99a3d914d63de2d08dda1a9094d%7C37c354b285b047f5b22207b48d774ee3%7C0%7C0%7C638844469561191607%7CUnknown%7CTWFpbGZsb3d8eyJFbXB0eU1hcGkiOnRydWUsIlYiOiIwLjAuMDAwMCIsIlAiOiJXaW4zMiIsIkFOIjoiTWFpbCIsIldUIjoyfQ%3D%3D%7C0%7C%7C%7C&amp;sdata=9k0ttTiqBMJbM2eTQ4UbW7CRyhd73MYGJw%2Fuz%2BvRg1c%3D&amp;reserved=0" TargetMode="External"/><Relationship Id="rId44" Type="http://schemas.openxmlformats.org/officeDocument/2006/relationships/hyperlink" Target="https://fakemeds.campaign.gov.uk/" TargetMode="External"/><Relationship Id="rId52" Type="http://schemas.openxmlformats.org/officeDocument/2006/relationships/hyperlink" Target="https://gbr01.safelinks.protection.outlook.com/?url=https%3A%2F%2Fwww.asa.org.uk%2Fnews%2Ftrim-down-your-weight-loss-medicine-ads-doctor-s-orders.html&amp;data=05%7C02%7Cl.angus%40nhs.net%7C4bd1d99a3d914d63de2d08dda1a9094d%7C37c354b285b047f5b22207b48d774ee3%7C0%7C0%7C638844469561147743%7CUnknown%7CTWFpbGZsb3d8eyJFbXB0eU1hcGkiOnRydWUsIlYiOiIwLjAuMDAwMCIsIlAiOiJXaW4zMiIsIkFOIjoiTWFpbCIsIldUIjoyfQ%3D%3D%7C0%7C%7C%7C&amp;sdata=823rS0pPtSQ641dIPOJCaY0XqfupOPI68zi8Y6kc7Z4%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12A2-B41B-4F9C-97EE-4CE1A8AC07D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4310</Words>
  <Characters>26250</Characters>
  <Application>Microsoft Office Word</Application>
  <DocSecurity>0</DocSecurity>
  <Lines>525</Lines>
  <Paragraphs>291</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Laura (NHS HUMBER AND NORTH YORKSHIRE ICB - 42D)</dc:creator>
  <cp:keywords/>
  <dc:description/>
  <cp:lastModifiedBy>ANGUS, Laura (NHS HUMBER AND NORTH YORKSHIRE ICB - 42D)</cp:lastModifiedBy>
  <cp:revision>2</cp:revision>
  <dcterms:created xsi:type="dcterms:W3CDTF">2025-06-23T08:46:00Z</dcterms:created>
  <dcterms:modified xsi:type="dcterms:W3CDTF">2025-06-23T08:46:00Z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62736553-c466-46a7-9876-feca7dc2d1df</vt:lpwstr>
  </property>
</Properties>
</file>